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055" w:type="dxa"/>
        <w:tblInd w:w="93" w:type="dxa"/>
        <w:tblLayout w:type="fixed"/>
        <w:tblCellMar>
          <w:top w:w="0" w:type="dxa"/>
          <w:left w:w="108" w:type="dxa"/>
          <w:bottom w:w="0" w:type="dxa"/>
          <w:right w:w="108" w:type="dxa"/>
        </w:tblCellMar>
      </w:tblPr>
      <w:tblGrid>
        <w:gridCol w:w="193"/>
        <w:gridCol w:w="542"/>
        <w:gridCol w:w="1303"/>
        <w:gridCol w:w="1161"/>
        <w:gridCol w:w="1620"/>
        <w:gridCol w:w="1676"/>
        <w:gridCol w:w="3960"/>
        <w:gridCol w:w="3600"/>
      </w:tblGrid>
      <w:tr>
        <w:tblPrEx>
          <w:tblLayout w:type="fixed"/>
          <w:tblCellMar>
            <w:top w:w="0" w:type="dxa"/>
            <w:left w:w="108" w:type="dxa"/>
            <w:bottom w:w="0" w:type="dxa"/>
            <w:right w:w="108" w:type="dxa"/>
          </w:tblCellMar>
        </w:tblPrEx>
        <w:trPr>
          <w:trHeight w:val="1256" w:hRule="atLeast"/>
        </w:trPr>
        <w:tc>
          <w:tcPr>
            <w:tcW w:w="14055" w:type="dxa"/>
            <w:gridSpan w:val="8"/>
            <w:tcBorders>
              <w:top w:val="nil"/>
              <w:left w:val="nil"/>
              <w:bottom w:val="single" w:color="auto" w:sz="4" w:space="0"/>
              <w:right w:val="nil"/>
            </w:tcBorders>
            <w:shd w:val="clear" w:color="auto" w:fill="auto"/>
            <w:vAlign w:val="center"/>
          </w:tcPr>
          <w:p>
            <w:pPr>
              <w:widowControl/>
              <w:jc w:val="center"/>
              <w:rPr>
                <w:rFonts w:hint="eastAsia" w:ascii="方正小标宋_GBK" w:hAnsi="宋体" w:eastAsia="方正小标宋_GBK" w:cs="宋体"/>
                <w:b/>
                <w:bCs/>
                <w:color w:val="000000"/>
                <w:kern w:val="0"/>
                <w:sz w:val="40"/>
                <w:szCs w:val="40"/>
              </w:rPr>
            </w:pPr>
            <w:r>
              <w:rPr>
                <w:rFonts w:hint="eastAsia" w:ascii="方正小标宋_GBK" w:hAnsi="宋体" w:eastAsia="方正小标宋_GBK" w:cs="宋体"/>
                <w:bCs/>
                <w:color w:val="000000"/>
                <w:kern w:val="0"/>
                <w:sz w:val="40"/>
                <w:szCs w:val="40"/>
              </w:rPr>
              <w:t>市政府决定清理规范的市</w:t>
            </w:r>
            <w:bookmarkStart w:id="0" w:name="_GoBack"/>
            <w:bookmarkEnd w:id="0"/>
            <w:r>
              <w:rPr>
                <w:rFonts w:hint="eastAsia" w:ascii="方正小标宋_GBK" w:hAnsi="宋体" w:eastAsia="方正小标宋_GBK" w:cs="宋体"/>
                <w:bCs/>
                <w:color w:val="000000"/>
                <w:kern w:val="0"/>
                <w:sz w:val="40"/>
                <w:szCs w:val="40"/>
              </w:rPr>
              <w:t>直部门行政审批中介服务事项目录</w:t>
            </w:r>
          </w:p>
        </w:tc>
      </w:tr>
      <w:tr>
        <w:tblPrEx>
          <w:tblLayout w:type="fixed"/>
          <w:tblCellMar>
            <w:top w:w="0" w:type="dxa"/>
            <w:left w:w="108" w:type="dxa"/>
            <w:bottom w:w="0" w:type="dxa"/>
            <w:right w:w="108" w:type="dxa"/>
          </w:tblCellMar>
        </w:tblPrEx>
        <w:trPr>
          <w:trHeight w:val="810" w:hRule="atLeast"/>
        </w:trPr>
        <w:tc>
          <w:tcPr>
            <w:tcW w:w="73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cs="宋体"/>
                <w:bCs/>
                <w:color w:val="000000"/>
                <w:kern w:val="0"/>
                <w:sz w:val="22"/>
              </w:rPr>
            </w:pPr>
            <w:r>
              <w:rPr>
                <w:rFonts w:hint="eastAsia" w:ascii="仿宋_GB2312" w:hAnsi="宋体" w:cs="宋体"/>
                <w:bCs/>
                <w:color w:val="000000"/>
                <w:kern w:val="0"/>
                <w:sz w:val="22"/>
              </w:rPr>
              <w:t>序号</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cs="宋体"/>
                <w:bCs/>
                <w:color w:val="000000"/>
                <w:kern w:val="0"/>
                <w:sz w:val="22"/>
              </w:rPr>
            </w:pPr>
            <w:r>
              <w:rPr>
                <w:rFonts w:hint="eastAsia" w:ascii="仿宋_GB2312" w:hAnsi="宋体" w:cs="宋体"/>
                <w:bCs/>
                <w:color w:val="000000"/>
                <w:kern w:val="0"/>
                <w:sz w:val="22"/>
              </w:rPr>
              <w:t>审批部门</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cs="宋体"/>
                <w:bCs/>
                <w:color w:val="000000"/>
                <w:kern w:val="0"/>
                <w:sz w:val="22"/>
              </w:rPr>
            </w:pPr>
            <w:r>
              <w:rPr>
                <w:rFonts w:hint="eastAsia" w:ascii="仿宋_GB2312" w:hAnsi="宋体" w:cs="宋体"/>
                <w:bCs/>
                <w:color w:val="000000"/>
                <w:kern w:val="0"/>
                <w:sz w:val="22"/>
              </w:rPr>
              <w:t>中介服务事项编码</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cs="宋体"/>
                <w:bCs/>
                <w:color w:val="000000"/>
                <w:kern w:val="0"/>
                <w:sz w:val="22"/>
              </w:rPr>
            </w:pPr>
            <w:r>
              <w:rPr>
                <w:rFonts w:hint="eastAsia" w:ascii="仿宋_GB2312" w:hAnsi="宋体" w:cs="宋体"/>
                <w:bCs/>
                <w:color w:val="000000"/>
                <w:kern w:val="0"/>
                <w:sz w:val="22"/>
              </w:rPr>
              <w:t>中介服务事项名称</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cs="宋体"/>
                <w:bCs/>
                <w:color w:val="000000"/>
                <w:kern w:val="0"/>
                <w:sz w:val="22"/>
              </w:rPr>
            </w:pPr>
            <w:r>
              <w:rPr>
                <w:rFonts w:hint="eastAsia" w:ascii="仿宋_GB2312" w:hAnsi="宋体" w:cs="宋体"/>
                <w:bCs/>
                <w:color w:val="000000"/>
                <w:kern w:val="0"/>
                <w:sz w:val="22"/>
              </w:rPr>
              <w:t>涉及的审批</w:t>
            </w:r>
            <w:r>
              <w:rPr>
                <w:rFonts w:hint="eastAsia" w:ascii="仿宋_GB2312" w:hAnsi="宋体" w:cs="宋体"/>
                <w:bCs/>
                <w:color w:val="000000"/>
                <w:kern w:val="0"/>
                <w:sz w:val="22"/>
              </w:rPr>
              <w:br w:type="textWrapping"/>
            </w:r>
            <w:r>
              <w:rPr>
                <w:rFonts w:hint="eastAsia" w:ascii="仿宋_GB2312" w:hAnsi="宋体" w:cs="宋体"/>
                <w:bCs/>
                <w:color w:val="000000"/>
                <w:kern w:val="0"/>
                <w:sz w:val="22"/>
              </w:rPr>
              <w:t>事项项目名称</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cs="宋体"/>
                <w:bCs/>
                <w:color w:val="000000"/>
                <w:kern w:val="0"/>
                <w:sz w:val="22"/>
              </w:rPr>
            </w:pPr>
            <w:r>
              <w:rPr>
                <w:rFonts w:hint="eastAsia" w:ascii="仿宋_GB2312" w:hAnsi="宋体" w:cs="宋体"/>
                <w:bCs/>
                <w:color w:val="000000"/>
                <w:kern w:val="0"/>
                <w:sz w:val="22"/>
              </w:rPr>
              <w:t>中介服务设定依据</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宋体" w:cs="宋体"/>
                <w:bCs/>
                <w:kern w:val="0"/>
                <w:sz w:val="22"/>
              </w:rPr>
            </w:pPr>
            <w:r>
              <w:rPr>
                <w:rFonts w:hint="eastAsia" w:ascii="仿宋_GB2312" w:hAnsi="宋体" w:cs="宋体"/>
                <w:bCs/>
                <w:kern w:val="0"/>
                <w:sz w:val="22"/>
              </w:rPr>
              <w:t>处理决定</w:t>
            </w:r>
          </w:p>
        </w:tc>
      </w:tr>
      <w:tr>
        <w:tblPrEx>
          <w:tblLayout w:type="fixed"/>
          <w:tblCellMar>
            <w:top w:w="0" w:type="dxa"/>
            <w:left w:w="108" w:type="dxa"/>
            <w:bottom w:w="0" w:type="dxa"/>
            <w:right w:w="108" w:type="dxa"/>
          </w:tblCellMar>
        </w:tblPrEx>
        <w:trPr>
          <w:trHeight w:val="1500" w:hRule="atLeast"/>
        </w:trPr>
        <w:tc>
          <w:tcPr>
            <w:tcW w:w="73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市发改委</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02-003</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固定资产投资项目节能评估报告书（表）编制</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市级权限内固定资产投资项目节能审查</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《中华人民共和国节约能源法》第十五条；《固定资产投资项目节能审查办法》（国家发展改革委令2016年第44号）第七条。</w:t>
            </w:r>
          </w:p>
        </w:tc>
        <w:tc>
          <w:tcPr>
            <w:tcW w:w="360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仍需申请人提供评估报告，但申请人可按照要求自行编制，也可委托有关机构编制。审批部门不得以任何形式要求申请人必须委托特定中介机构提供服务。同时保留审批部门现有的固定资产投资项目节能评估技术评审评估。</w:t>
            </w:r>
          </w:p>
        </w:tc>
      </w:tr>
      <w:tr>
        <w:tblPrEx>
          <w:tblLayout w:type="fixed"/>
          <w:tblCellMar>
            <w:top w:w="0" w:type="dxa"/>
            <w:left w:w="108" w:type="dxa"/>
            <w:bottom w:w="0" w:type="dxa"/>
            <w:right w:w="108" w:type="dxa"/>
          </w:tblCellMar>
        </w:tblPrEx>
        <w:trPr>
          <w:trHeight w:val="1039" w:hRule="atLeast"/>
        </w:trPr>
        <w:tc>
          <w:tcPr>
            <w:tcW w:w="73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市人力资源和社会保障局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09-046</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验资报告或者财务审计报告</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劳务派遣机构设立许可</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《中华人民共和国劳动合同法》第五十七条；《劳务派遣行政许可实施办法》（人力资源和社会保障部令第19号）第八条。</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仍需申请人提供验资报告或者财务审计报告。审批部门不得以任何形式要求申请人必须委托特定中介机构提供服务。</w:t>
            </w:r>
          </w:p>
        </w:tc>
      </w:tr>
      <w:tr>
        <w:tblPrEx>
          <w:tblLayout w:type="fixed"/>
          <w:tblCellMar>
            <w:top w:w="0" w:type="dxa"/>
            <w:left w:w="108" w:type="dxa"/>
            <w:bottom w:w="0" w:type="dxa"/>
            <w:right w:w="108" w:type="dxa"/>
          </w:tblCellMar>
        </w:tblPrEx>
        <w:trPr>
          <w:trHeight w:val="1122" w:hRule="atLeast"/>
        </w:trPr>
        <w:tc>
          <w:tcPr>
            <w:tcW w:w="7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3</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市人力资源和社会保障局</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09-048</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验资报告</w:t>
            </w:r>
          </w:p>
        </w:tc>
        <w:tc>
          <w:tcPr>
            <w:tcW w:w="167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人力资源服务机构设立审批</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44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《中华人民共和国就业促进法》第四十条；《就业服务与就业管理规定》（人力资源和社会保障部令第23号）第四十九条；《河南省劳动力市场条例》第六条。</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不再要求申请人提供验资报告。</w:t>
            </w:r>
          </w:p>
        </w:tc>
      </w:tr>
      <w:tr>
        <w:tblPrEx>
          <w:tblLayout w:type="fixed"/>
          <w:tblCellMar>
            <w:top w:w="0" w:type="dxa"/>
            <w:left w:w="108" w:type="dxa"/>
            <w:bottom w:w="0" w:type="dxa"/>
            <w:right w:w="108" w:type="dxa"/>
          </w:tblCellMar>
        </w:tblPrEx>
        <w:trPr>
          <w:trHeight w:val="900" w:hRule="atLeast"/>
        </w:trPr>
        <w:tc>
          <w:tcPr>
            <w:tcW w:w="73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4</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市国土</w:t>
            </w:r>
          </w:p>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资源局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10-053</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采矿权价款评估报告书编制</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采矿权登记</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《矿产资源开采管理办法》（国务院令第241号）第十条。</w:t>
            </w:r>
          </w:p>
        </w:tc>
        <w:tc>
          <w:tcPr>
            <w:tcW w:w="360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不再要求申请人提供相关材料，改由审批部门根据审批工作需要自行委托有关机构开展技术性服务。</w:t>
            </w:r>
          </w:p>
        </w:tc>
      </w:tr>
      <w:tr>
        <w:tblPrEx>
          <w:tblLayout w:type="fixed"/>
          <w:tblCellMar>
            <w:top w:w="0" w:type="dxa"/>
            <w:left w:w="108" w:type="dxa"/>
            <w:bottom w:w="0" w:type="dxa"/>
            <w:right w:w="108" w:type="dxa"/>
          </w:tblCellMar>
        </w:tblPrEx>
        <w:trPr>
          <w:trHeight w:val="960" w:hRule="atLeast"/>
        </w:trPr>
        <w:tc>
          <w:tcPr>
            <w:tcW w:w="735" w:type="dxa"/>
            <w:gridSpan w:val="2"/>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5</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市环保局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11-058</w:t>
            </w:r>
          </w:p>
          <w:p>
            <w:pPr>
              <w:widowControl/>
              <w:spacing w:line="500" w:lineRule="exact"/>
              <w:ind w:firstLine="120" w:firstLineChars="50"/>
              <w:rPr>
                <w:rFonts w:hint="eastAsia" w:ascii="仿宋_GB2312" w:hAnsi="Courier New" w:cs="Courier New"/>
                <w:color w:val="000000"/>
                <w:kern w:val="0"/>
                <w:sz w:val="24"/>
              </w:rPr>
            </w:pPr>
            <w:r>
              <w:rPr>
                <w:rFonts w:hint="eastAsia" w:ascii="仿宋_GB2312" w:hAnsi="Courier New" w:cs="Courier New"/>
                <w:color w:val="000000"/>
                <w:kern w:val="0"/>
                <w:sz w:val="24"/>
              </w:rPr>
              <w:t>-02</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验收监测报告</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建设项目环境保护防治污染设施竣工验收</w:t>
            </w:r>
          </w:p>
        </w:tc>
        <w:tc>
          <w:tcPr>
            <w:tcW w:w="396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《建设项目环境保护管理条例》（国务院令第253号）；《建设项目竣工环境保护验收管理办法》（环保总局令第13号）第十三条。</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不再要求申请人提供验收监测报告。</w:t>
            </w:r>
          </w:p>
        </w:tc>
      </w:tr>
      <w:tr>
        <w:tblPrEx>
          <w:tblLayout w:type="fixed"/>
          <w:tblCellMar>
            <w:top w:w="0" w:type="dxa"/>
            <w:left w:w="108" w:type="dxa"/>
            <w:bottom w:w="0" w:type="dxa"/>
            <w:right w:w="108" w:type="dxa"/>
          </w:tblCellMar>
        </w:tblPrEx>
        <w:trPr>
          <w:gridBefore w:val="1"/>
          <w:wBefore w:w="193" w:type="dxa"/>
          <w:trHeight w:val="679" w:hRule="atLeast"/>
        </w:trPr>
        <w:tc>
          <w:tcPr>
            <w:tcW w:w="542"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6</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市环保局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11-059</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污染物排放监测报告</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排污许可证发放审批</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《河南省减少污染物排放条例》第十三条。</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不再要求申请人提供污染物排放监测报告。</w:t>
            </w:r>
          </w:p>
        </w:tc>
      </w:tr>
      <w:tr>
        <w:tblPrEx>
          <w:tblLayout w:type="fixed"/>
          <w:tblCellMar>
            <w:top w:w="0" w:type="dxa"/>
            <w:left w:w="108" w:type="dxa"/>
            <w:bottom w:w="0" w:type="dxa"/>
            <w:right w:w="108" w:type="dxa"/>
          </w:tblCellMar>
        </w:tblPrEx>
        <w:trPr>
          <w:gridBefore w:val="1"/>
          <w:wBefore w:w="193" w:type="dxa"/>
          <w:trHeight w:val="979" w:hRule="atLeast"/>
        </w:trPr>
        <w:tc>
          <w:tcPr>
            <w:tcW w:w="542"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7</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市交通</w:t>
            </w:r>
          </w:p>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运输局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13-083</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危货从业资格培训证明</w:t>
            </w:r>
          </w:p>
        </w:tc>
        <w:tc>
          <w:tcPr>
            <w:tcW w:w="1676"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道路危险货物运输驾驶员、装卸管理人员和押运员从业资格证件认定</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《道路运输从业人员管理规定》（交通运输部令2016年第52号）第十六条、第十七条。</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仍需申请人提供危货从业资格培训证明。审批部门不得以任何形式要求申请人必须委托特定中介机构提供服务。</w:t>
            </w:r>
          </w:p>
        </w:tc>
      </w:tr>
      <w:tr>
        <w:tblPrEx>
          <w:tblLayout w:type="fixed"/>
          <w:tblCellMar>
            <w:top w:w="0" w:type="dxa"/>
            <w:left w:w="108" w:type="dxa"/>
            <w:bottom w:w="0" w:type="dxa"/>
            <w:right w:w="108" w:type="dxa"/>
          </w:tblCellMar>
        </w:tblPrEx>
        <w:trPr>
          <w:gridBefore w:val="1"/>
          <w:wBefore w:w="193" w:type="dxa"/>
          <w:trHeight w:val="1542" w:hRule="atLeast"/>
        </w:trPr>
        <w:tc>
          <w:tcPr>
            <w:tcW w:w="5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8</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市水利局</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14-086</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rPr>
                <w:rFonts w:hint="eastAsia" w:ascii="仿宋_GB2312" w:hAnsi="Courier New" w:cs="Courier New"/>
                <w:kern w:val="0"/>
                <w:sz w:val="24"/>
              </w:rPr>
            </w:pPr>
            <w:r>
              <w:rPr>
                <w:rFonts w:hint="eastAsia" w:ascii="仿宋_GB2312" w:hAnsi="Courier New" w:cs="Courier New"/>
                <w:kern w:val="0"/>
                <w:sz w:val="24"/>
              </w:rPr>
              <w:t>新建、改建和扩建入河排污口设置论证报告</w:t>
            </w:r>
          </w:p>
        </w:tc>
        <w:tc>
          <w:tcPr>
            <w:tcW w:w="167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rPr>
                <w:rFonts w:hint="eastAsia" w:ascii="仿宋_GB2312" w:hAnsi="Courier New" w:cs="Courier New"/>
                <w:kern w:val="0"/>
                <w:sz w:val="24"/>
              </w:rPr>
            </w:pPr>
            <w:r>
              <w:rPr>
                <w:rFonts w:hint="eastAsia" w:ascii="仿宋_GB2312" w:hAnsi="Courier New" w:cs="Courier New"/>
                <w:kern w:val="0"/>
                <w:sz w:val="24"/>
              </w:rPr>
              <w:t>新建、改建和扩建入河排污口审批</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rPr>
                <w:rFonts w:hint="eastAsia" w:ascii="仿宋_GB2312" w:hAnsi="Courier New" w:cs="Courier New"/>
                <w:kern w:val="0"/>
                <w:sz w:val="24"/>
              </w:rPr>
            </w:pPr>
            <w:r>
              <w:rPr>
                <w:rFonts w:hint="eastAsia" w:ascii="仿宋_GB2312" w:hAnsi="Courier New" w:cs="Courier New"/>
                <w:kern w:val="0"/>
                <w:sz w:val="24"/>
              </w:rPr>
              <w:t>《入河排污口监督管理办法》(水利部令第22号）第七条、第八条、第十二条。</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仍需申请人提供入河排污口设置论证报告。但申请人可按照要求自行编制，也可委托有关机构编制。审批部门不得以任何形式要求申请人必须委托特定中介服务机构提供服务，同时保留审批部门现有的技术评审评估。</w:t>
            </w:r>
          </w:p>
        </w:tc>
      </w:tr>
      <w:tr>
        <w:tblPrEx>
          <w:tblLayout w:type="fixed"/>
          <w:tblCellMar>
            <w:top w:w="0" w:type="dxa"/>
            <w:left w:w="108" w:type="dxa"/>
            <w:bottom w:w="0" w:type="dxa"/>
            <w:right w:w="108" w:type="dxa"/>
          </w:tblCellMar>
        </w:tblPrEx>
        <w:trPr>
          <w:gridBefore w:val="1"/>
          <w:wBefore w:w="193" w:type="dxa"/>
          <w:trHeight w:val="1242" w:hRule="atLeast"/>
        </w:trPr>
        <w:tc>
          <w:tcPr>
            <w:tcW w:w="542"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9</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市质监局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20-132</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rPr>
                <w:rFonts w:hint="eastAsia" w:ascii="仿宋_GB2312" w:hAnsi="Courier New" w:cs="Courier New"/>
                <w:color w:val="000000"/>
                <w:kern w:val="0"/>
                <w:sz w:val="24"/>
              </w:rPr>
            </w:pPr>
            <w:r>
              <w:rPr>
                <w:rFonts w:hint="eastAsia" w:ascii="仿宋_GB2312" w:hAnsi="Courier New" w:cs="Courier New"/>
                <w:color w:val="000000"/>
                <w:kern w:val="0"/>
                <w:sz w:val="24"/>
              </w:rPr>
              <w:t>厂（场）内专用机动车辆的改造维修许可评审</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厂（场）内专用机动车辆的改造维修许可</w:t>
            </w:r>
          </w:p>
        </w:tc>
        <w:tc>
          <w:tcPr>
            <w:tcW w:w="3960" w:type="dxa"/>
            <w:tcBorders>
              <w:top w:val="nil"/>
              <w:left w:val="nil"/>
              <w:bottom w:val="single" w:color="auto" w:sz="4" w:space="0"/>
              <w:right w:val="single" w:color="auto" w:sz="4" w:space="0"/>
            </w:tcBorders>
            <w:shd w:val="clear" w:color="auto" w:fill="auto"/>
            <w:vAlign w:val="center"/>
          </w:tcPr>
          <w:p>
            <w:pPr>
              <w:widowControl/>
              <w:spacing w:line="46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《中华人民共和国特种设备安全法》第二条、第十八条；《机电类特种设备安装改造维修许可规则（试行）》（国质检锅〔2003〕251号）第二条、第五条、第十二条 。</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不再要求申请人提供相关材料，改由审批部门根据审批工作需要自行委托有关机构开展技术性服务。</w:t>
            </w:r>
          </w:p>
        </w:tc>
      </w:tr>
      <w:tr>
        <w:tblPrEx>
          <w:tblLayout w:type="fixed"/>
          <w:tblCellMar>
            <w:top w:w="0" w:type="dxa"/>
            <w:left w:w="108" w:type="dxa"/>
            <w:bottom w:w="0" w:type="dxa"/>
            <w:right w:w="108" w:type="dxa"/>
          </w:tblCellMar>
        </w:tblPrEx>
        <w:trPr>
          <w:gridBefore w:val="1"/>
          <w:wBefore w:w="193" w:type="dxa"/>
          <w:trHeight w:val="1440" w:hRule="atLeast"/>
        </w:trPr>
        <w:tc>
          <w:tcPr>
            <w:tcW w:w="542"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10</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市质监局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20-133</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rPr>
                <w:rFonts w:hint="eastAsia" w:ascii="仿宋_GB2312" w:hAnsi="Courier New" w:cs="Courier New"/>
                <w:color w:val="000000"/>
                <w:kern w:val="0"/>
                <w:sz w:val="24"/>
              </w:rPr>
            </w:pPr>
            <w:r>
              <w:rPr>
                <w:rFonts w:hint="eastAsia" w:ascii="仿宋_GB2312" w:hAnsi="Courier New" w:cs="Courier New"/>
                <w:color w:val="000000"/>
                <w:kern w:val="0"/>
                <w:sz w:val="24"/>
              </w:rPr>
              <w:t>移动式压力容器、气瓶充装单位（车用气瓶充装单位除外）许可鉴定评审</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移动式压力容器、气瓶充装单位（车用气瓶充装单位除外）许可</w:t>
            </w:r>
          </w:p>
        </w:tc>
        <w:tc>
          <w:tcPr>
            <w:tcW w:w="3960" w:type="dxa"/>
            <w:tcBorders>
              <w:top w:val="nil"/>
              <w:left w:val="nil"/>
              <w:bottom w:val="single" w:color="auto" w:sz="4" w:space="0"/>
              <w:right w:val="single" w:color="auto" w:sz="4" w:space="0"/>
            </w:tcBorders>
            <w:shd w:val="clear" w:color="auto" w:fill="auto"/>
            <w:vAlign w:val="center"/>
          </w:tcPr>
          <w:p>
            <w:pPr>
              <w:widowControl/>
              <w:spacing w:after="240"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《中华人民共和国特种设备安全法》第四十九条；《移动式压力容器充装许可规则》第四条、第五条、第八条 、第十一条 ；《气瓶充装许可规则》第三条、第六条、第九条。</w:t>
            </w:r>
          </w:p>
        </w:tc>
        <w:tc>
          <w:tcPr>
            <w:tcW w:w="3600" w:type="dxa"/>
            <w:tcBorders>
              <w:top w:val="nil"/>
              <w:left w:val="nil"/>
              <w:bottom w:val="single" w:color="auto" w:sz="4" w:space="0"/>
              <w:right w:val="single" w:color="auto" w:sz="4" w:space="0"/>
            </w:tcBorders>
            <w:shd w:val="clear" w:color="auto" w:fill="auto"/>
            <w:vAlign w:val="center"/>
          </w:tcPr>
          <w:p>
            <w:pPr>
              <w:widowControl/>
              <w:spacing w:line="44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仍需请人提供相关材料，但申请人可按照要求自行编制，也可委托有关机构编制。审批部门不得以任何形式要求申请人必须委托特定中介服务机构提供服务。同时保留审批部门现有的技术评审评估。</w:t>
            </w:r>
          </w:p>
        </w:tc>
      </w:tr>
      <w:tr>
        <w:tblPrEx>
          <w:tblLayout w:type="fixed"/>
          <w:tblCellMar>
            <w:top w:w="0" w:type="dxa"/>
            <w:left w:w="108" w:type="dxa"/>
            <w:bottom w:w="0" w:type="dxa"/>
            <w:right w:w="108" w:type="dxa"/>
          </w:tblCellMar>
        </w:tblPrEx>
        <w:trPr>
          <w:gridBefore w:val="1"/>
          <w:wBefore w:w="193" w:type="dxa"/>
          <w:trHeight w:val="2476" w:hRule="atLeast"/>
        </w:trPr>
        <w:tc>
          <w:tcPr>
            <w:tcW w:w="5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11</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市质监局</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20-134</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特种设备作业人员考试</w:t>
            </w:r>
          </w:p>
        </w:tc>
        <w:tc>
          <w:tcPr>
            <w:tcW w:w="167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特种设备作业人员资格证</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after="240"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《中华人民共和国特种设备安全法》第十四条；《特种设备作业人员监督管理办法》（质检总局令第140号）第二条、第六条、第七条、第十五条、第十六条。</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不再要求申请人提供相关材料，改由审批部门根据审批工作需要自行委托有关机构开展技术性服务。</w:t>
            </w:r>
          </w:p>
        </w:tc>
      </w:tr>
      <w:tr>
        <w:tblPrEx>
          <w:tblLayout w:type="fixed"/>
          <w:tblCellMar>
            <w:top w:w="0" w:type="dxa"/>
            <w:left w:w="108" w:type="dxa"/>
            <w:bottom w:w="0" w:type="dxa"/>
            <w:right w:w="108" w:type="dxa"/>
          </w:tblCellMar>
        </w:tblPrEx>
        <w:trPr>
          <w:gridBefore w:val="1"/>
          <w:wBefore w:w="193" w:type="dxa"/>
          <w:trHeight w:val="919" w:hRule="atLeast"/>
        </w:trPr>
        <w:tc>
          <w:tcPr>
            <w:tcW w:w="542"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12</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市质监局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20-135</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计量标准器及配套的主要设备检定或校准</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计量标准器具核准</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《中华人民共和国计量法》第十九条；《计量标准考核办法》（质检总局令第72号）第七条、第十二条、第二十二条。</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不再要求申请人提供相关材料，改由审批部门根据审批工作需要自行委托有关机构开展技术性服务。</w:t>
            </w:r>
          </w:p>
        </w:tc>
      </w:tr>
      <w:tr>
        <w:tblPrEx>
          <w:tblLayout w:type="fixed"/>
          <w:tblCellMar>
            <w:top w:w="0" w:type="dxa"/>
            <w:left w:w="108" w:type="dxa"/>
            <w:bottom w:w="0" w:type="dxa"/>
            <w:right w:w="108" w:type="dxa"/>
          </w:tblCellMar>
        </w:tblPrEx>
        <w:trPr>
          <w:gridBefore w:val="1"/>
          <w:wBefore w:w="193" w:type="dxa"/>
          <w:trHeight w:val="1740" w:hRule="atLeast"/>
        </w:trPr>
        <w:tc>
          <w:tcPr>
            <w:tcW w:w="542"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13</w:t>
            </w:r>
          </w:p>
        </w:tc>
        <w:tc>
          <w:tcPr>
            <w:tcW w:w="1303"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市质监局</w:t>
            </w:r>
          </w:p>
        </w:tc>
        <w:tc>
          <w:tcPr>
            <w:tcW w:w="1161" w:type="dxa"/>
            <w:tcBorders>
              <w:top w:val="nil"/>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20-136</w:t>
            </w:r>
          </w:p>
        </w:tc>
        <w:tc>
          <w:tcPr>
            <w:tcW w:w="162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计量器具型式批准</w:t>
            </w:r>
          </w:p>
        </w:tc>
        <w:tc>
          <w:tcPr>
            <w:tcW w:w="1676"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制造、修理计量器具许可证签发</w:t>
            </w:r>
          </w:p>
        </w:tc>
        <w:tc>
          <w:tcPr>
            <w:tcW w:w="396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计量法》第十二条；《制造、修理计量器具许可监督管理办法》（质检总局令第104号）第四条、第十五条；《中华人民共和国计量法实施细则》第十八条、第十九条；《制造、修理计量器具许可监督管理办法》（质检总局令第104号）第十二条。</w:t>
            </w:r>
          </w:p>
        </w:tc>
        <w:tc>
          <w:tcPr>
            <w:tcW w:w="3600" w:type="dxa"/>
            <w:tcBorders>
              <w:top w:val="nil"/>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不再要求申请人提供相关材料，改由审批部门根据审批工作需要自行委托有关机构开展技术性服务。</w:t>
            </w:r>
          </w:p>
        </w:tc>
      </w:tr>
      <w:tr>
        <w:tblPrEx>
          <w:tblLayout w:type="fixed"/>
          <w:tblCellMar>
            <w:top w:w="0" w:type="dxa"/>
            <w:left w:w="108" w:type="dxa"/>
            <w:bottom w:w="0" w:type="dxa"/>
            <w:right w:w="108" w:type="dxa"/>
          </w:tblCellMar>
        </w:tblPrEx>
        <w:trPr>
          <w:gridBefore w:val="1"/>
          <w:wBefore w:w="193" w:type="dxa"/>
          <w:trHeight w:val="1219" w:hRule="atLeast"/>
        </w:trPr>
        <w:tc>
          <w:tcPr>
            <w:tcW w:w="5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14</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市质监局</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20-137</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大型游乐设施安装改造维修许可评审</w:t>
            </w:r>
          </w:p>
        </w:tc>
        <w:tc>
          <w:tcPr>
            <w:tcW w:w="167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大型游乐设施安装改造维修许可</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《中华人民共和国特种设备安全法》第二条、第十八条；《机电类特种设备安装改造维修许可规则（试行）》（国质检锅[2003]251号）第二条、第五条、第十五条。</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不再要求申请人提供相关材料，改由审批部门根据审批工作需要自行委托有关机构开展技术性服务。</w:t>
            </w:r>
          </w:p>
        </w:tc>
      </w:tr>
      <w:tr>
        <w:tblPrEx>
          <w:tblLayout w:type="fixed"/>
          <w:tblCellMar>
            <w:top w:w="0" w:type="dxa"/>
            <w:left w:w="108" w:type="dxa"/>
            <w:bottom w:w="0" w:type="dxa"/>
            <w:right w:w="108" w:type="dxa"/>
          </w:tblCellMar>
        </w:tblPrEx>
        <w:trPr>
          <w:gridBefore w:val="1"/>
          <w:wBefore w:w="193" w:type="dxa"/>
          <w:trHeight w:val="1159" w:hRule="atLeast"/>
        </w:trPr>
        <w:tc>
          <w:tcPr>
            <w:tcW w:w="5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15</w:t>
            </w:r>
          </w:p>
        </w:tc>
        <w:tc>
          <w:tcPr>
            <w:tcW w:w="1303"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市安监局</w:t>
            </w:r>
          </w:p>
        </w:tc>
        <w:tc>
          <w:tcPr>
            <w:tcW w:w="116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eastAsia" w:ascii="仿宋_GB2312" w:hAnsi="Courier New" w:cs="Courier New"/>
                <w:color w:val="000000"/>
                <w:kern w:val="0"/>
                <w:sz w:val="24"/>
              </w:rPr>
            </w:pPr>
            <w:r>
              <w:rPr>
                <w:rFonts w:hint="eastAsia" w:ascii="仿宋_GB2312" w:hAnsi="Courier New" w:cs="Courier New"/>
                <w:color w:val="000000"/>
                <w:kern w:val="0"/>
                <w:sz w:val="24"/>
              </w:rPr>
              <w:t>25-145</w:t>
            </w:r>
          </w:p>
          <w:p>
            <w:pPr>
              <w:widowControl/>
              <w:spacing w:line="500" w:lineRule="exact"/>
              <w:ind w:firstLine="120" w:firstLineChars="50"/>
              <w:rPr>
                <w:rFonts w:hint="eastAsia" w:ascii="仿宋_GB2312" w:hAnsi="Courier New" w:cs="Courier New"/>
                <w:color w:val="000000"/>
                <w:kern w:val="0"/>
                <w:sz w:val="24"/>
              </w:rPr>
            </w:pPr>
            <w:r>
              <w:rPr>
                <w:rFonts w:hint="eastAsia" w:ascii="仿宋_GB2312" w:hAnsi="Courier New" w:cs="Courier New"/>
                <w:color w:val="000000"/>
                <w:kern w:val="0"/>
                <w:sz w:val="24"/>
              </w:rPr>
              <w:t>-01</w:t>
            </w:r>
          </w:p>
        </w:tc>
        <w:tc>
          <w:tcPr>
            <w:tcW w:w="162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安全评价报告</w:t>
            </w:r>
          </w:p>
        </w:tc>
        <w:tc>
          <w:tcPr>
            <w:tcW w:w="1676"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危险化学品经营许可证核发</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46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《危险化学品安全管理条例》（国务院令第591号）第十二条、第二十二条；《危险化学品经营许可证管理办法》（安监总局令第55号）第八条、第九条。</w:t>
            </w:r>
          </w:p>
        </w:tc>
        <w:tc>
          <w:tcPr>
            <w:tcW w:w="3600"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left"/>
              <w:rPr>
                <w:rFonts w:hint="eastAsia" w:ascii="仿宋_GB2312" w:hAnsi="Courier New" w:cs="Courier New"/>
                <w:color w:val="000000"/>
                <w:kern w:val="0"/>
                <w:sz w:val="24"/>
              </w:rPr>
            </w:pPr>
            <w:r>
              <w:rPr>
                <w:rFonts w:hint="eastAsia" w:ascii="仿宋_GB2312" w:hAnsi="Courier New" w:cs="Courier New"/>
                <w:color w:val="000000"/>
                <w:kern w:val="0"/>
                <w:sz w:val="24"/>
              </w:rPr>
              <w:t>仍需申请人提供安全评价报告。审批部门不得以任何形式要求申请人必须委托特定中介机构提供服务。</w:t>
            </w:r>
          </w:p>
        </w:tc>
      </w:tr>
    </w:tbl>
    <w:p/>
    <w:p>
      <w:pPr>
        <w:ind w:left="5120"/>
        <w:rPr>
          <w:rFonts w:ascii="仿宋_GB2312"/>
          <w:szCs w:val="32"/>
        </w:rPr>
      </w:pPr>
    </w:p>
    <w:p>
      <w:pPr>
        <w:rPr>
          <w:rFonts w:hint="eastAsia"/>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pPr>
        <w:rPr>
          <w:rFonts w:hint="eastAsia" w:ascii="仿宋_GB2312"/>
          <w:szCs w:val="32"/>
        </w:rPr>
      </w:pPr>
    </w:p>
    <w:p>
      <w:r>
        <w:rPr>
          <w:rFonts w:ascii="sans-serif" w:hAnsi="sans-serif" w:eastAsia="sans-serif" w:cs="sans-serif"/>
          <w:b w:val="0"/>
          <w:i w:val="0"/>
          <w:caps w:val="0"/>
          <w:color w:val="000000"/>
          <w:spacing w:val="0"/>
          <w:sz w:val="24"/>
          <w:szCs w:val="24"/>
        </w:rPr>
        <w:t>部门行政审批中介服务事项的决定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方正小标宋简体">
    <w:altName w:val="宋体"/>
    <w:panose1 w:val="02010601030101010101"/>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F3143"/>
    <w:rsid w:val="4A9F31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2017-11-17T02:01:00Z</dcterms:created>
  <dc:creator>Administrator</dc:creator>
  <cp:lastModifiedBy>Administrator</cp:lastModifiedBy>
  <dcterms:modified xsi:type="dcterms:W3CDTF">2017-11-17T02:03:42Z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