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仿宋_GB2312"/>
          <w:sz w:val="40"/>
          <w:szCs w:val="40"/>
        </w:rPr>
      </w:pPr>
      <w:r>
        <w:rPr>
          <w:rFonts w:hint="eastAsia" w:ascii="方正小标宋_GBK" w:hAnsi="宋体" w:eastAsia="方正小标宋_GBK" w:cs="仿宋_GB2312"/>
          <w:sz w:val="40"/>
          <w:szCs w:val="40"/>
        </w:rPr>
        <w:t>益农信息社选点标准</w:t>
      </w:r>
    </w:p>
    <w:tbl>
      <w:tblPr>
        <w:tblStyle w:val="3"/>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230"/>
        <w:gridCol w:w="1882"/>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908" w:type="dxa"/>
            <w:vAlign w:val="top"/>
          </w:tcPr>
          <w:p>
            <w:pPr>
              <w:spacing w:line="500" w:lineRule="exact"/>
              <w:rPr>
                <w:rFonts w:hint="eastAsia" w:ascii="仿宋_GB2312" w:hAnsi="仿宋" w:cs="仿宋_GB2312"/>
                <w:sz w:val="24"/>
              </w:rPr>
            </w:pPr>
            <w:r>
              <w:rPr>
                <w:rFonts w:hint="eastAsia" w:ascii="仿宋_GB2312" w:hAnsi="仿宋" w:cs="仿宋_GB231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-6350</wp:posOffset>
                      </wp:positionV>
                      <wp:extent cx="1257300" cy="891540"/>
                      <wp:effectExtent l="2540" t="3810" r="16510" b="19050"/>
                      <wp:wrapNone/>
                      <wp:docPr id="1" name="直线 2"/>
                      <wp:cNvGraphicFramePr/>
                      <a:graphic xmlns:a="http://schemas.openxmlformats.org/drawingml/2006/main">
                        <a:graphicData uri="http://schemas.microsoft.com/office/word/2010/wordprocessingShape">
                          <wps:wsp>
                            <wps:cNvSpPr/>
                            <wps:spPr>
                              <a:xfrm>
                                <a:off x="0" y="0"/>
                                <a:ext cx="125730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0.5pt;height:70.2pt;width:99pt;z-index:251663360;mso-width-relative:page;mso-height-relative:page;" filled="f" coordsize="21600,21600" o:gfxdata="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A7wI9YAAAAKAQAADwAAAAAAAAABACAAAAAi&#10;AAAAZHJzL2Rvd25yZXYueG1sUEsBAhQAFAAAAAgAh07iQNsIRwfTAQAAkgMAAA4AAAAAAAAAAQAg&#10;AAAAJQEAAGRycy9lMm9Eb2MueG1sUEsFBgAAAAAGAAYAWQEAAGoFAAAAAA==&#10;">
                      <v:path arrowok="t"/>
                      <v:fill on="f" focussize="0,0"/>
                      <v:stroke/>
                      <v:imagedata o:title=""/>
                      <o:lock v:ext="edit"/>
                    </v:line>
                  </w:pict>
                </mc:Fallback>
              </mc:AlternateContent>
            </w:r>
            <w:r>
              <w:rPr>
                <w:rFonts w:hint="eastAsia" w:ascii="仿宋_GB2312" w:hAnsi="仿宋" w:cs="仿宋_GB2312"/>
                <w:szCs w:val="32"/>
              </w:rPr>
              <w:t xml:space="preserve">    </w:t>
            </w:r>
            <w:r>
              <w:rPr>
                <w:rFonts w:hint="eastAsia" w:ascii="仿宋_GB2312" w:hAnsi="仿宋" w:cs="仿宋_GB2312"/>
                <w:sz w:val="24"/>
              </w:rPr>
              <w:t>基础设施</w:t>
            </w:r>
          </w:p>
          <w:p>
            <w:pPr>
              <w:spacing w:line="500" w:lineRule="exact"/>
              <w:rPr>
                <w:rFonts w:hint="eastAsia" w:ascii="仿宋_GB2312" w:hAnsi="仿宋" w:cs="仿宋_GB2312"/>
                <w:sz w:val="24"/>
              </w:rPr>
            </w:pPr>
          </w:p>
          <w:p>
            <w:pPr>
              <w:spacing w:line="500" w:lineRule="exact"/>
              <w:rPr>
                <w:rFonts w:hint="eastAsia" w:ascii="仿宋_GB2312" w:hAnsi="仿宋" w:cs="仿宋_GB2312"/>
                <w:szCs w:val="32"/>
              </w:rPr>
            </w:pPr>
            <w:r>
              <w:rPr>
                <w:rFonts w:hint="eastAsia" w:ascii="仿宋_GB2312" w:hAnsi="仿宋" w:cs="仿宋_GB2312"/>
                <w:sz w:val="24"/>
              </w:rPr>
              <w:t>站点类型</w:t>
            </w:r>
          </w:p>
        </w:tc>
        <w:tc>
          <w:tcPr>
            <w:tcW w:w="4230" w:type="dxa"/>
            <w:vAlign w:val="center"/>
          </w:tcPr>
          <w:p>
            <w:pPr>
              <w:spacing w:line="400" w:lineRule="exact"/>
              <w:jc w:val="center"/>
              <w:rPr>
                <w:rFonts w:hint="eastAsia" w:ascii="仿宋_GB2312" w:hAnsi="仿宋" w:cs="仿宋_GB2312"/>
                <w:sz w:val="24"/>
              </w:rPr>
            </w:pPr>
            <w:r>
              <w:rPr>
                <w:rFonts w:hint="eastAsia" w:ascii="仿宋_GB2312" w:hAnsi="仿宋" w:cs="仿宋_GB2312"/>
                <w:sz w:val="24"/>
              </w:rPr>
              <w:t>经营场所</w:t>
            </w:r>
          </w:p>
        </w:tc>
        <w:tc>
          <w:tcPr>
            <w:tcW w:w="1882" w:type="dxa"/>
            <w:vAlign w:val="center"/>
          </w:tcPr>
          <w:p>
            <w:pPr>
              <w:spacing w:line="400" w:lineRule="exact"/>
              <w:jc w:val="center"/>
              <w:rPr>
                <w:rFonts w:hint="eastAsia" w:ascii="仿宋_GB2312" w:hAnsi="仿宋" w:cs="仿宋_GB2312"/>
                <w:sz w:val="24"/>
              </w:rPr>
            </w:pPr>
            <w:r>
              <w:rPr>
                <w:rFonts w:hint="eastAsia" w:ascii="仿宋_GB2312" w:hAnsi="仿宋" w:cs="仿宋_GB2312"/>
                <w:sz w:val="24"/>
              </w:rPr>
              <w:t>营销人员</w:t>
            </w:r>
          </w:p>
        </w:tc>
        <w:tc>
          <w:tcPr>
            <w:tcW w:w="824" w:type="dxa"/>
            <w:vAlign w:val="center"/>
          </w:tcPr>
          <w:p>
            <w:pPr>
              <w:spacing w:line="400" w:lineRule="exact"/>
              <w:jc w:val="center"/>
              <w:rPr>
                <w:rFonts w:hint="eastAsia" w:ascii="仿宋_GB2312" w:hAnsi="仿宋" w:cs="仿宋_GB2312"/>
                <w:sz w:val="24"/>
              </w:rPr>
            </w:pPr>
            <w:r>
              <w:rPr>
                <w:rFonts w:hint="eastAsia" w:ascii="仿宋_GB2312" w:hAnsi="仿宋" w:cs="仿宋_GB2312"/>
                <w:sz w:val="24"/>
              </w:rPr>
              <w:t>基本设备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trPr>
        <w:tc>
          <w:tcPr>
            <w:tcW w:w="1908" w:type="dxa"/>
            <w:vAlign w:val="center"/>
          </w:tcPr>
          <w:p>
            <w:pPr>
              <w:spacing w:line="400" w:lineRule="exact"/>
              <w:jc w:val="center"/>
              <w:rPr>
                <w:rFonts w:hint="eastAsia" w:ascii="仿宋_GB2312" w:hAnsi="仿宋" w:cs="仿宋_GB2312"/>
                <w:sz w:val="24"/>
              </w:rPr>
            </w:pPr>
            <w:bookmarkStart w:id="0" w:name="_GoBack"/>
            <w:r>
              <w:rPr>
                <w:rFonts w:hint="eastAsia" w:ascii="仿宋_GB2312" w:hAnsi="仿宋" w:cs="仿宋_GB2312"/>
                <w:sz w:val="24"/>
              </w:rPr>
              <w:t>标准站</w:t>
            </w:r>
          </w:p>
        </w:tc>
        <w:tc>
          <w:tcPr>
            <w:tcW w:w="4230" w:type="dxa"/>
            <w:vAlign w:val="center"/>
          </w:tcPr>
          <w:p>
            <w:pPr>
              <w:numPr>
                <w:ilvl w:val="0"/>
                <w:numId w:val="1"/>
              </w:numPr>
              <w:spacing w:line="400" w:lineRule="exact"/>
              <w:jc w:val="left"/>
              <w:rPr>
                <w:rFonts w:hint="eastAsia" w:ascii="仿宋_GB2312" w:hAnsi="仿宋" w:cs="仿宋_GB2312"/>
                <w:sz w:val="24"/>
              </w:rPr>
            </w:pPr>
            <w:r>
              <w:rPr>
                <w:rFonts w:hint="eastAsia" w:ascii="仿宋_GB2312" w:hAnsi="仿宋" w:cs="仿宋_GB2312"/>
                <w:sz w:val="24"/>
              </w:rPr>
              <w:t>依托行政村建设，优先选择交通便利、农户密集、人流量大的地区，重点选择村委会、农村党员干部现代远程教育终端站点、农技推广机构、农村综合信息服务中心、农村商业网点等基础设施较为完善的场所。</w:t>
            </w:r>
          </w:p>
          <w:p>
            <w:pPr>
              <w:spacing w:line="400" w:lineRule="exact"/>
              <w:jc w:val="left"/>
              <w:rPr>
                <w:rFonts w:hint="eastAsia" w:ascii="仿宋_GB2312" w:hAnsi="仿宋" w:cs="仿宋_GB2312"/>
                <w:sz w:val="24"/>
              </w:rPr>
            </w:pPr>
            <w:r>
              <w:rPr>
                <w:rFonts w:hint="eastAsia" w:ascii="仿宋_GB2312" w:hAnsi="仿宋" w:cs="仿宋_GB2312"/>
                <w:sz w:val="24"/>
              </w:rPr>
              <w:t>2.使用面积不小于20平方米。</w:t>
            </w:r>
          </w:p>
        </w:tc>
        <w:tc>
          <w:tcPr>
            <w:tcW w:w="1882" w:type="dxa"/>
            <w:vMerge w:val="restart"/>
            <w:vAlign w:val="center"/>
          </w:tcPr>
          <w:p>
            <w:pPr>
              <w:spacing w:line="400" w:lineRule="exact"/>
              <w:jc w:val="left"/>
              <w:rPr>
                <w:rFonts w:hint="eastAsia" w:ascii="仿宋_GB2312" w:hAnsi="仿宋" w:cs="仿宋_GB2312"/>
                <w:sz w:val="24"/>
              </w:rPr>
            </w:pPr>
            <w:r>
              <w:rPr>
                <w:rFonts w:hint="eastAsia" w:ascii="仿宋_GB2312" w:hAnsi="仿宋" w:cs="仿宋_GB2312"/>
                <w:sz w:val="24"/>
              </w:rPr>
              <w:t>1.年龄要符合20周岁以上、50周岁以下的条件。</w:t>
            </w:r>
          </w:p>
          <w:p>
            <w:pPr>
              <w:spacing w:line="400" w:lineRule="exact"/>
              <w:jc w:val="left"/>
              <w:rPr>
                <w:rFonts w:hint="eastAsia" w:ascii="仿宋_GB2312" w:hAnsi="仿宋" w:cs="仿宋_GB2312"/>
                <w:sz w:val="24"/>
              </w:rPr>
            </w:pPr>
            <w:r>
              <w:rPr>
                <w:rFonts w:hint="eastAsia" w:ascii="仿宋_GB2312" w:hAnsi="仿宋" w:cs="仿宋_GB2312"/>
                <w:sz w:val="24"/>
              </w:rPr>
              <w:t>2.初中以上文化程度。</w:t>
            </w:r>
          </w:p>
          <w:p>
            <w:pPr>
              <w:spacing w:line="400" w:lineRule="exact"/>
              <w:jc w:val="left"/>
              <w:rPr>
                <w:rFonts w:hint="eastAsia" w:ascii="仿宋_GB2312" w:hAnsi="仿宋" w:cs="仿宋_GB2312"/>
                <w:szCs w:val="32"/>
              </w:rPr>
            </w:pPr>
            <w:r>
              <w:rPr>
                <w:rFonts w:hint="eastAsia" w:ascii="仿宋_GB2312" w:hAnsi="仿宋" w:cs="仿宋_GB2312"/>
                <w:sz w:val="24"/>
              </w:rPr>
              <w:t>3.重点选择村组干部、大学生村官、农村经纪人、农业生产经营主体带头人和农村商超店主，在同等条件下优先选择返乡大中专毕业生、返乡农民工、农村青年、巾帼致富带头人和退役士兵等人员。</w:t>
            </w:r>
          </w:p>
        </w:tc>
        <w:tc>
          <w:tcPr>
            <w:tcW w:w="824" w:type="dxa"/>
            <w:vMerge w:val="restart"/>
            <w:vAlign w:val="center"/>
          </w:tcPr>
          <w:p>
            <w:pPr>
              <w:spacing w:line="400" w:lineRule="exact"/>
              <w:jc w:val="center"/>
              <w:rPr>
                <w:rFonts w:hint="eastAsia" w:ascii="仿宋_GB2312" w:hAnsi="仿宋" w:cs="仿宋_GB2312"/>
                <w:szCs w:val="32"/>
              </w:rPr>
            </w:pPr>
            <w:r>
              <w:rPr>
                <w:rFonts w:hint="eastAsia" w:ascii="仿宋_GB2312" w:hAnsi="仿宋" w:cs="仿宋_GB2312"/>
                <w:sz w:val="24"/>
              </w:rPr>
              <w:t>具备能够正常使用的电脑。</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1908" w:type="dxa"/>
            <w:vAlign w:val="center"/>
          </w:tcPr>
          <w:p>
            <w:pPr>
              <w:spacing w:line="400" w:lineRule="exact"/>
              <w:jc w:val="center"/>
              <w:rPr>
                <w:rFonts w:hint="eastAsia" w:ascii="仿宋_GB2312" w:hAnsi="仿宋" w:cs="仿宋_GB2312"/>
                <w:sz w:val="24"/>
              </w:rPr>
            </w:pPr>
            <w:r>
              <w:rPr>
                <w:rFonts w:hint="eastAsia" w:ascii="仿宋_GB2312" w:hAnsi="仿宋" w:cs="仿宋_GB2312"/>
                <w:sz w:val="24"/>
              </w:rPr>
              <w:t>专业站</w:t>
            </w:r>
          </w:p>
        </w:tc>
        <w:tc>
          <w:tcPr>
            <w:tcW w:w="4230" w:type="dxa"/>
            <w:vAlign w:val="center"/>
          </w:tcPr>
          <w:p>
            <w:pPr>
              <w:numPr>
                <w:ilvl w:val="0"/>
                <w:numId w:val="2"/>
              </w:numPr>
              <w:spacing w:line="400" w:lineRule="exact"/>
              <w:jc w:val="left"/>
              <w:rPr>
                <w:rFonts w:hint="eastAsia" w:ascii="仿宋_GB2312" w:hAnsi="仿宋" w:cs="仿宋_GB2312"/>
                <w:sz w:val="24"/>
              </w:rPr>
            </w:pPr>
            <w:r>
              <w:rPr>
                <w:rFonts w:hint="eastAsia" w:ascii="仿宋_GB2312" w:hAnsi="仿宋" w:cs="仿宋_GB2312"/>
                <w:sz w:val="24"/>
              </w:rPr>
              <w:t>依托家庭农场、专业大户、农民合作社、农业产业化龙头企业等新型农业经营主体或新型农业服务主体选建。</w:t>
            </w:r>
          </w:p>
          <w:p>
            <w:pPr>
              <w:spacing w:line="400" w:lineRule="exact"/>
              <w:jc w:val="left"/>
              <w:rPr>
                <w:rFonts w:hint="eastAsia" w:ascii="仿宋_GB2312" w:hAnsi="仿宋" w:cs="仿宋_GB2312"/>
                <w:sz w:val="24"/>
              </w:rPr>
            </w:pPr>
            <w:r>
              <w:rPr>
                <w:rFonts w:hint="eastAsia" w:ascii="仿宋_GB2312" w:hAnsi="仿宋" w:cs="仿宋_GB2312"/>
                <w:sz w:val="24"/>
              </w:rPr>
              <w:t>2．生产经营或服务场所应距离行政村或农户密集区不超过2000米。</w:t>
            </w:r>
          </w:p>
          <w:p>
            <w:pPr>
              <w:numPr>
                <w:ilvl w:val="0"/>
                <w:numId w:val="3"/>
              </w:numPr>
              <w:spacing w:line="400" w:lineRule="exact"/>
              <w:jc w:val="left"/>
              <w:rPr>
                <w:rFonts w:hint="eastAsia" w:ascii="仿宋_GB2312" w:hAnsi="仿宋" w:cs="仿宋_GB2312"/>
                <w:sz w:val="24"/>
              </w:rPr>
            </w:pPr>
            <w:r>
              <w:rPr>
                <w:rFonts w:hint="eastAsia" w:ascii="仿宋_GB2312" w:hAnsi="仿宋" w:cs="仿宋_GB2312"/>
                <w:sz w:val="24"/>
              </w:rPr>
              <w:t>使用面积不小于20平方米。</w:t>
            </w:r>
          </w:p>
          <w:p>
            <w:pPr>
              <w:spacing w:line="400" w:lineRule="exact"/>
              <w:jc w:val="left"/>
              <w:rPr>
                <w:rFonts w:hint="eastAsia" w:ascii="仿宋_GB2312" w:hAnsi="仿宋" w:cs="仿宋_GB2312"/>
                <w:sz w:val="24"/>
              </w:rPr>
            </w:pPr>
            <w:r>
              <w:rPr>
                <w:rFonts w:hint="eastAsia" w:ascii="仿宋_GB2312" w:hAnsi="仿宋" w:cs="仿宋_GB2312"/>
                <w:sz w:val="24"/>
              </w:rPr>
              <w:t>4．具备对合作社社员进行培训的场所。</w:t>
            </w:r>
          </w:p>
        </w:tc>
        <w:tc>
          <w:tcPr>
            <w:tcW w:w="1882" w:type="dxa"/>
            <w:vMerge w:val="continue"/>
            <w:vAlign w:val="center"/>
          </w:tcPr>
          <w:p>
            <w:pPr>
              <w:spacing w:line="400" w:lineRule="exact"/>
              <w:jc w:val="center"/>
              <w:rPr>
                <w:rFonts w:hint="eastAsia" w:ascii="仿宋" w:hAnsi="仿宋" w:eastAsia="仿宋" w:cs="仿宋_GB2312"/>
                <w:szCs w:val="32"/>
              </w:rPr>
            </w:pPr>
          </w:p>
        </w:tc>
        <w:tc>
          <w:tcPr>
            <w:tcW w:w="824" w:type="dxa"/>
            <w:vMerge w:val="continue"/>
            <w:vAlign w:val="center"/>
          </w:tcPr>
          <w:p>
            <w:pPr>
              <w:spacing w:line="400" w:lineRule="exact"/>
              <w:jc w:val="center"/>
              <w:rPr>
                <w:rFonts w:hint="eastAsia" w:ascii="仿宋" w:hAnsi="仿宋" w:eastAsia="仿宋"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jc w:val="center"/>
              <w:rPr>
                <w:rFonts w:hint="eastAsia" w:ascii="仿宋_GB2312" w:hAnsi="仿宋" w:cs="仿宋_GB2312"/>
                <w:sz w:val="24"/>
              </w:rPr>
            </w:pPr>
            <w:r>
              <w:rPr>
                <w:rFonts w:hint="eastAsia" w:ascii="仿宋_GB2312" w:hAnsi="仿宋" w:cs="仿宋_GB2312"/>
                <w:sz w:val="24"/>
              </w:rPr>
              <w:t>简易站</w:t>
            </w:r>
          </w:p>
        </w:tc>
        <w:tc>
          <w:tcPr>
            <w:tcW w:w="4230" w:type="dxa"/>
            <w:vAlign w:val="center"/>
          </w:tcPr>
          <w:p>
            <w:pPr>
              <w:numPr>
                <w:ilvl w:val="0"/>
                <w:numId w:val="4"/>
              </w:numPr>
              <w:spacing w:line="400" w:lineRule="exact"/>
              <w:jc w:val="left"/>
              <w:rPr>
                <w:rFonts w:hint="eastAsia" w:ascii="仿宋_GB2312" w:hAnsi="仿宋" w:cs="仿宋_GB2312"/>
                <w:sz w:val="24"/>
              </w:rPr>
            </w:pPr>
            <w:r>
              <w:rPr>
                <w:rFonts w:hint="eastAsia" w:ascii="仿宋_GB2312" w:hAnsi="仿宋" w:cs="仿宋_GB2312"/>
                <w:sz w:val="24"/>
              </w:rPr>
              <w:t>依托行政村建设，优先选择商务、邮政、供销、移动、电信、联通、农行等单位在农村建立并运营服务良好的电子商务网点或者业务代办网点，以及农资店、兽药饲料门市、便民超市等经营状况良好的农村商业网点。</w:t>
            </w:r>
          </w:p>
          <w:p>
            <w:pPr>
              <w:spacing w:line="400" w:lineRule="exact"/>
              <w:jc w:val="left"/>
              <w:rPr>
                <w:rFonts w:hint="eastAsia" w:ascii="仿宋_GB2312" w:hAnsi="仿宋" w:cs="仿宋_GB2312"/>
                <w:sz w:val="24"/>
              </w:rPr>
            </w:pPr>
            <w:r>
              <w:rPr>
                <w:rFonts w:hint="eastAsia" w:ascii="仿宋_GB2312" w:hAnsi="仿宋" w:cs="仿宋_GB2312"/>
                <w:sz w:val="24"/>
              </w:rPr>
              <w:t>2.使用面积不小于20平方米。</w:t>
            </w:r>
          </w:p>
        </w:tc>
        <w:tc>
          <w:tcPr>
            <w:tcW w:w="1882" w:type="dxa"/>
            <w:vMerge w:val="continue"/>
            <w:vAlign w:val="center"/>
          </w:tcPr>
          <w:p>
            <w:pPr>
              <w:spacing w:line="400" w:lineRule="exact"/>
              <w:jc w:val="center"/>
              <w:rPr>
                <w:rFonts w:hint="eastAsia" w:ascii="仿宋" w:hAnsi="仿宋" w:eastAsia="仿宋" w:cs="仿宋_GB2312"/>
                <w:szCs w:val="32"/>
              </w:rPr>
            </w:pPr>
          </w:p>
        </w:tc>
        <w:tc>
          <w:tcPr>
            <w:tcW w:w="824" w:type="dxa"/>
            <w:vMerge w:val="continue"/>
            <w:vAlign w:val="center"/>
          </w:tcPr>
          <w:p>
            <w:pPr>
              <w:spacing w:line="400" w:lineRule="exact"/>
              <w:jc w:val="center"/>
              <w:rPr>
                <w:rFonts w:hint="eastAsia" w:ascii="仿宋" w:hAnsi="仿宋" w:eastAsia="仿宋" w:cs="仿宋_GB231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0237"/>
    <w:multiLevelType w:val="singleLevel"/>
    <w:tmpl w:val="59E70237"/>
    <w:lvl w:ilvl="0" w:tentative="0">
      <w:start w:val="1"/>
      <w:numFmt w:val="decimal"/>
      <w:lvlText w:val="%1."/>
      <w:lvlJc w:val="left"/>
      <w:pPr>
        <w:tabs>
          <w:tab w:val="left" w:pos="312"/>
        </w:tabs>
      </w:pPr>
    </w:lvl>
  </w:abstractNum>
  <w:abstractNum w:abstractNumId="1">
    <w:nsid w:val="59E70289"/>
    <w:multiLevelType w:val="singleLevel"/>
    <w:tmpl w:val="59E70289"/>
    <w:lvl w:ilvl="0" w:tentative="0">
      <w:start w:val="1"/>
      <w:numFmt w:val="decimal"/>
      <w:suff w:val="nothing"/>
      <w:lvlText w:val="%1．"/>
      <w:lvlJc w:val="left"/>
    </w:lvl>
  </w:abstractNum>
  <w:abstractNum w:abstractNumId="2">
    <w:nsid w:val="59E70298"/>
    <w:multiLevelType w:val="singleLevel"/>
    <w:tmpl w:val="59E70298"/>
    <w:lvl w:ilvl="0" w:tentative="0">
      <w:start w:val="3"/>
      <w:numFmt w:val="decimal"/>
      <w:suff w:val="nothing"/>
      <w:lvlText w:val="%1．"/>
      <w:lvlJc w:val="left"/>
    </w:lvl>
  </w:abstractNum>
  <w:abstractNum w:abstractNumId="3">
    <w:nsid w:val="59E702AA"/>
    <w:multiLevelType w:val="singleLevel"/>
    <w:tmpl w:val="59E702A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A7295"/>
    <w:rsid w:val="71EA7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2017-11-08T02:18:00Z</dcterms:created>
  <dc:creator>Administrator</dc:creator>
  <cp:lastModifiedBy>Administrator</cp:lastModifiedBy>
  <dcterms:modified xsi:type="dcterms:W3CDTF">2017-11-08T02:18:23Z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