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仿宋_GB2312"/>
          <w:sz w:val="36"/>
          <w:szCs w:val="36"/>
        </w:rPr>
        <w:t xml:space="preserve"> </w:t>
      </w:r>
      <w:r>
        <w:rPr>
          <w:rFonts w:hint="eastAsia" w:ascii="仿宋_GB2312"/>
          <w:sz w:val="36"/>
          <w:szCs w:val="36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方正小标宋_GBK" w:hAnsi="宋体" w:eastAsia="方正小标宋_GBK"/>
          <w:sz w:val="40"/>
          <w:szCs w:val="40"/>
        </w:rPr>
        <w:t>取消和下放行政职权事项目录</w:t>
      </w:r>
    </w:p>
    <w:p>
      <w:pPr>
        <w:spacing w:line="580" w:lineRule="exact"/>
        <w:rPr>
          <w:rFonts w:hint="eastAsia" w:ascii="宋体" w:hAnsi="宋体"/>
          <w:sz w:val="36"/>
          <w:szCs w:val="36"/>
        </w:rPr>
      </w:pPr>
    </w:p>
    <w:tbl>
      <w:tblPr>
        <w:tblStyle w:val="7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61"/>
        <w:gridCol w:w="1080"/>
        <w:gridCol w:w="1080"/>
        <w:gridCol w:w="784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序号</w:t>
            </w: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行政职权事项名称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实施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部门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职权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类别</w:t>
            </w:r>
          </w:p>
        </w:tc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处理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决定</w:t>
            </w:r>
          </w:p>
        </w:tc>
        <w:tc>
          <w:tcPr>
            <w:tcW w:w="31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生产建设项目水土保持设施验收审批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市水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利局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其他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职权</w:t>
            </w:r>
          </w:p>
        </w:tc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取消</w:t>
            </w:r>
          </w:p>
        </w:tc>
        <w:tc>
          <w:tcPr>
            <w:tcW w:w="3186" w:type="dxa"/>
            <w:vAlign w:val="center"/>
          </w:tcPr>
          <w:p>
            <w:pPr>
              <w:spacing w:line="480" w:lineRule="exact"/>
              <w:rPr>
                <w:rFonts w:hint="eastAsia" w:ascii="仿宋_GB2312" w:hAnsi="Arial" w:cs="Arial"/>
                <w:color w:val="333333"/>
                <w:sz w:val="24"/>
              </w:rPr>
            </w:pPr>
            <w:r>
              <w:rPr>
                <w:rFonts w:hint="eastAsia" w:ascii="仿宋_GB2312" w:hAnsi="Arial" w:cs="Arial"/>
                <w:color w:val="333333"/>
                <w:sz w:val="24"/>
              </w:rPr>
              <w:t>取消后，水利部门要按照上级部门制定的水土保持的有关标准和要求执行，并通过以下措施加强事中事后监管：</w:t>
            </w:r>
          </w:p>
          <w:p>
            <w:pPr>
              <w:spacing w:line="480" w:lineRule="exact"/>
              <w:rPr>
                <w:rFonts w:hint="eastAsia" w:ascii="仿宋_GB2312" w:hAnsi="Arial" w:cs="Arial"/>
                <w:color w:val="333333"/>
                <w:sz w:val="24"/>
              </w:rPr>
            </w:pPr>
            <w:r>
              <w:rPr>
                <w:rFonts w:hint="eastAsia" w:ascii="仿宋_GB2312" w:hAnsi="Arial" w:cs="Arial"/>
                <w:color w:val="333333"/>
                <w:sz w:val="24"/>
              </w:rPr>
              <w:t>1．要求生产建设单位按标准执行。</w:t>
            </w:r>
          </w:p>
          <w:p>
            <w:pPr>
              <w:spacing w:line="480" w:lineRule="exact"/>
              <w:rPr>
                <w:rFonts w:hint="eastAsia" w:ascii="仿宋_GB2312" w:hAnsi="Arial" w:cs="Arial"/>
                <w:color w:val="333333"/>
                <w:sz w:val="24"/>
              </w:rPr>
            </w:pPr>
            <w:r>
              <w:rPr>
                <w:rFonts w:hint="eastAsia" w:ascii="仿宋_GB2312" w:hAnsi="Arial" w:cs="Arial"/>
                <w:color w:val="333333"/>
                <w:sz w:val="24"/>
              </w:rPr>
              <w:t>2．明确要求生产建设单位应当加强水土流失监测，在生产建设项目投产使用前，依据经批复的水土保持方案及批复意见，组织第三方机构编制水土保持设施验收报告，向社会公开并向水土保持方案审批机关报备。</w:t>
            </w:r>
          </w:p>
          <w:p>
            <w:pPr>
              <w:spacing w:line="4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Arial" w:cs="Arial"/>
                <w:color w:val="333333"/>
                <w:sz w:val="24"/>
              </w:rPr>
              <w:t>3．加强对水土保持方案实施情况的跟踪检查，依法查处水土保持违法违规行为，处罚结果纳入国家信用平台，实行联合惩戒。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5" w:hRule="atLeast"/>
        </w:trPr>
        <w:tc>
          <w:tcPr>
            <w:tcW w:w="6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木材经营加工许可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市林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业局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其他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职权</w:t>
            </w:r>
          </w:p>
        </w:tc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取消</w:t>
            </w:r>
          </w:p>
        </w:tc>
        <w:tc>
          <w:tcPr>
            <w:tcW w:w="3186" w:type="dxa"/>
            <w:vAlign w:val="center"/>
          </w:tcPr>
          <w:p>
            <w:pPr>
              <w:spacing w:line="500" w:lineRule="exact"/>
              <w:rPr>
                <w:rFonts w:hint="eastAsia" w:ascii="仿宋_GB2312" w:hAnsi="Arial" w:cs="Arial"/>
                <w:color w:val="333333"/>
                <w:sz w:val="24"/>
              </w:rPr>
            </w:pPr>
            <w:r>
              <w:rPr>
                <w:rFonts w:hint="eastAsia" w:ascii="仿宋_GB2312" w:hAnsi="Arial" w:cs="Arial"/>
                <w:color w:val="333333"/>
                <w:sz w:val="24"/>
              </w:rPr>
              <w:t>取消后，林业部门要通过以下措施加强事中事后监管：</w:t>
            </w:r>
          </w:p>
          <w:p>
            <w:pPr>
              <w:spacing w:line="500" w:lineRule="exact"/>
              <w:rPr>
                <w:rFonts w:hint="eastAsia" w:ascii="仿宋_GB2312" w:hAnsi="Arial" w:cs="Arial"/>
                <w:color w:val="333333"/>
                <w:sz w:val="24"/>
              </w:rPr>
            </w:pPr>
            <w:r>
              <w:rPr>
                <w:rFonts w:hint="eastAsia" w:ascii="仿宋_GB2312" w:hAnsi="Arial" w:cs="Arial"/>
                <w:color w:val="333333"/>
                <w:sz w:val="24"/>
              </w:rPr>
              <w:t>1．强化“林木采伐许可证核发”“木材运输证核发”，从源头上对乱砍滥伐行为强化管理。</w:t>
            </w:r>
          </w:p>
          <w:p>
            <w:pPr>
              <w:spacing w:line="5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Arial" w:cs="Arial"/>
                <w:color w:val="333333"/>
                <w:sz w:val="24"/>
              </w:rPr>
              <w:t>2．加强与工商部门的信息沟通交流，掌握了解从事木材经营加工企业的工商登记信息，并相应加强实地检查、随机抽查，每年抽查比例不低于本地区木材经营加工企业总数的20%。重点核查经营（加工）场所是否符合相关规定、审查企业原料和产品入库出库台账、审查木材来源是否合法。3．违法违规行为处理结果及时通报工商部门，纳入国家企业信用信息公示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6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未经批准在食盐中擅自添加营养强化剂或药物的处罚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市盐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业局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处罚</w:t>
            </w:r>
          </w:p>
        </w:tc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取消</w:t>
            </w:r>
          </w:p>
        </w:tc>
        <w:tc>
          <w:tcPr>
            <w:tcW w:w="31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6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擅自印刷、购销、使用食盐包装袋及防伪标志的处罚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市盐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业局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行政处罚（子项）</w:t>
            </w:r>
          </w:p>
        </w:tc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取消</w:t>
            </w:r>
          </w:p>
        </w:tc>
        <w:tc>
          <w:tcPr>
            <w:tcW w:w="3186" w:type="dxa"/>
            <w:vAlign w:val="center"/>
          </w:tcPr>
          <w:p>
            <w:pPr>
              <w:spacing w:line="500" w:lineRule="exac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Arial" w:cs="Arial"/>
                <w:color w:val="333333"/>
                <w:sz w:val="24"/>
              </w:rPr>
              <w:t>属于“包装及标识不符合国家规定的，擅自印制、购销、使用食盐包装袋及防伪标志，工业用盐包装物无明显标志的处罚”的子项，取消后名称修改为“包装及标识不符合国家规定的，工业盐包装物无明显标志的处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6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5</w:t>
            </w: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经营高危险性体育项目许可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市体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育局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许可</w:t>
            </w:r>
          </w:p>
        </w:tc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下放至县（市、区）政府体育行政主管部门</w:t>
            </w:r>
          </w:p>
        </w:tc>
        <w:tc>
          <w:tcPr>
            <w:tcW w:w="31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5" w:left="1588" w:header="851" w:footer="1418" w:gutter="0"/>
          <w:pgNumType w:chapSep="emDash"/>
          <w:cols w:space="720" w:num="1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80"/>
      <w:jc w:val="right"/>
      <w:rPr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eastAsia="宋体"/>
      </w:rPr>
    </w:pPr>
    <w:r>
      <w:rPr>
        <w:rFonts w:hint="eastAsia"/>
        <w:sz w:val="28"/>
        <w:szCs w:val="28"/>
      </w:rPr>
      <w:t xml:space="preserve">  </w:t>
    </w:r>
    <w:r>
      <w:rPr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5"/>
        <w:rFonts w:hint="eastAsia" w:ascii="宋体" w:eastAsia="宋体"/>
        <w:sz w:val="28"/>
        <w:szCs w:val="28"/>
      </w:rPr>
      <w:instrText xml:space="preserve"> PAGE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5"/>
        <w:rFonts w:ascii="宋体" w:eastAsia="宋体"/>
        <w:sz w:val="28"/>
        <w:szCs w:val="28"/>
      </w:rPr>
      <w:t>4</w:t>
    </w:r>
    <w:r>
      <w:rPr>
        <w:rFonts w:hint="eastAsia" w:ascii="宋体" w:eastAsia="宋体"/>
        <w:sz w:val="28"/>
        <w:szCs w:val="28"/>
      </w:rPr>
      <w:fldChar w:fldCharType="end"/>
    </w:r>
    <w:r>
      <w:rPr>
        <w:rFonts w:hint="eastAsia" w:asci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325E1"/>
    <w:rsid w:val="16732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2017-12-28T01:14:00Z</dcterms:created>
  <dc:creator>Administrator</dc:creator>
  <cp:lastModifiedBy>Administrator</cp:lastModifiedBy>
  <dcterms:modified xsi:type="dcterms:W3CDTF">2017-12-28T01:15:37Z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