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jc w:val="center"/>
        <w:rPr>
          <w:rFonts w:hint="eastAsia" w:ascii="方正小标宋_GBK" w:hAnsi="方正小标宋简体" w:eastAsia="方正小标宋_GBK" w:cs="方正小标宋简体"/>
          <w:spacing w:val="15"/>
          <w:kern w:val="0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spacing w:val="15"/>
          <w:kern w:val="0"/>
          <w:sz w:val="40"/>
          <w:szCs w:val="40"/>
        </w:rPr>
        <w:t>重点实验室建设目录</w:t>
      </w:r>
    </w:p>
    <w:tbl>
      <w:tblPr>
        <w:tblStyle w:val="3"/>
        <w:tblpPr w:leftFromText="180" w:rightFromText="180" w:vertAnchor="text" w:horzAnchor="margin" w:tblpXSpec="right" w:tblpY="458"/>
        <w:tblOverlap w:val="never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75"/>
        <w:gridCol w:w="4898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序号</w:t>
            </w:r>
          </w:p>
        </w:tc>
        <w:tc>
          <w:tcPr>
            <w:tcW w:w="6875" w:type="dxa"/>
            <w:vAlign w:val="center"/>
          </w:tcPr>
          <w:p>
            <w:pPr>
              <w:jc w:val="center"/>
              <w:rPr>
                <w:rFonts w:hint="eastAsia" w:ascii="仿宋_GB2312" w:cs="宋体"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拟建重点实验室名称</w:t>
            </w:r>
          </w:p>
        </w:tc>
        <w:tc>
          <w:tcPr>
            <w:tcW w:w="4898" w:type="dxa"/>
            <w:vAlign w:val="center"/>
          </w:tcPr>
          <w:p>
            <w:pPr>
              <w:jc w:val="center"/>
              <w:rPr>
                <w:rFonts w:hint="eastAsia" w:ascii="仿宋_GB2312" w:cs="宋体"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依托单位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1</w:t>
            </w:r>
          </w:p>
        </w:tc>
        <w:tc>
          <w:tcPr>
            <w:tcW w:w="6875" w:type="dxa"/>
            <w:vAlign w:val="center"/>
          </w:tcPr>
          <w:p>
            <w:pPr>
              <w:spacing w:line="5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河南省尼龙</w:t>
            </w:r>
            <w:r>
              <w:rPr>
                <w:rFonts w:hint="eastAsia" w:ascii="仿宋_GB2312" w:hAnsi="宋体"/>
                <w:sz w:val="24"/>
              </w:rPr>
              <w:t>产业</w:t>
            </w:r>
            <w:r>
              <w:rPr>
                <w:rFonts w:hint="eastAsia" w:ascii="仿宋_GB2312" w:hAnsi="仿宋"/>
                <w:sz w:val="24"/>
              </w:rPr>
              <w:t>重点实验室</w:t>
            </w:r>
          </w:p>
        </w:tc>
        <w:tc>
          <w:tcPr>
            <w:tcW w:w="48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河南城建学院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2</w:t>
            </w:r>
          </w:p>
        </w:tc>
        <w:tc>
          <w:tcPr>
            <w:tcW w:w="6875" w:type="dxa"/>
            <w:vAlign w:val="center"/>
          </w:tcPr>
          <w:p>
            <w:pPr>
              <w:spacing w:line="5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河南省临氢铬钼钢板重点实验室</w:t>
            </w:r>
          </w:p>
        </w:tc>
        <w:tc>
          <w:tcPr>
            <w:tcW w:w="48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舞钢公司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3</w:t>
            </w:r>
          </w:p>
        </w:tc>
        <w:tc>
          <w:tcPr>
            <w:tcW w:w="6875" w:type="dxa"/>
            <w:vAlign w:val="center"/>
          </w:tcPr>
          <w:p>
            <w:pPr>
              <w:spacing w:line="500" w:lineRule="exac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平顶山市城乡规划现代技术重点实验室</w:t>
            </w:r>
          </w:p>
        </w:tc>
        <w:tc>
          <w:tcPr>
            <w:tcW w:w="48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河南城建学院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4</w:t>
            </w:r>
          </w:p>
        </w:tc>
        <w:tc>
          <w:tcPr>
            <w:tcW w:w="6875" w:type="dxa"/>
            <w:vAlign w:val="center"/>
          </w:tcPr>
          <w:p>
            <w:pPr>
              <w:spacing w:line="5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平顶山市智能电网与功率变换控制重点实验室</w:t>
            </w:r>
          </w:p>
        </w:tc>
        <w:tc>
          <w:tcPr>
            <w:tcW w:w="48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河南城建学院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5</w:t>
            </w:r>
          </w:p>
        </w:tc>
        <w:tc>
          <w:tcPr>
            <w:tcW w:w="6875" w:type="dxa"/>
            <w:vAlign w:val="center"/>
          </w:tcPr>
          <w:p>
            <w:pPr>
              <w:spacing w:line="5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平顶山市大数据协同创新重点实验室</w:t>
            </w:r>
          </w:p>
        </w:tc>
        <w:tc>
          <w:tcPr>
            <w:tcW w:w="48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河南城建学院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6</w:t>
            </w:r>
          </w:p>
        </w:tc>
        <w:tc>
          <w:tcPr>
            <w:tcW w:w="6875" w:type="dxa"/>
            <w:vAlign w:val="center"/>
          </w:tcPr>
          <w:p>
            <w:pPr>
              <w:spacing w:line="500" w:lineRule="exac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平顶山市水处理智能控制重点实验室</w:t>
            </w:r>
          </w:p>
        </w:tc>
        <w:tc>
          <w:tcPr>
            <w:tcW w:w="489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河南城建学院</w:t>
            </w:r>
          </w:p>
        </w:tc>
        <w:tc>
          <w:tcPr>
            <w:tcW w:w="15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458"/>
        <w:tblOverlap w:val="never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75"/>
        <w:gridCol w:w="4898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7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平顶山市多媒体云计算重点实验室</w:t>
            </w:r>
          </w:p>
        </w:tc>
        <w:tc>
          <w:tcPr>
            <w:tcW w:w="4898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河南城建学院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8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平顶山市煤矿塌陷区水生态修复重点实验室</w:t>
            </w:r>
          </w:p>
        </w:tc>
        <w:tc>
          <w:tcPr>
            <w:tcW w:w="4898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河南城建学院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9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spacing w:val="6"/>
                <w:sz w:val="24"/>
              </w:rPr>
              <w:t>平顶山市生物医学重点实验室</w:t>
            </w:r>
          </w:p>
        </w:tc>
        <w:tc>
          <w:tcPr>
            <w:tcW w:w="4898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spacing w:val="6"/>
                <w:sz w:val="24"/>
              </w:rPr>
              <w:t>平顶山学院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10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spacing w:val="6"/>
                <w:sz w:val="24"/>
              </w:rPr>
              <w:t>平顶山市社区护理重点实验室</w:t>
            </w:r>
          </w:p>
        </w:tc>
        <w:tc>
          <w:tcPr>
            <w:tcW w:w="4898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平顶山学院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11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平顶山市功能半导体材料重点实验室</w:t>
            </w:r>
          </w:p>
        </w:tc>
        <w:tc>
          <w:tcPr>
            <w:tcW w:w="4898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平顶山学院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12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平顶山市智能结构电磁材料重点实验室</w:t>
            </w:r>
          </w:p>
        </w:tc>
        <w:tc>
          <w:tcPr>
            <w:tcW w:w="4898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平顶山学院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13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平顶山市先进制造技术重点实验室</w:t>
            </w:r>
          </w:p>
        </w:tc>
        <w:tc>
          <w:tcPr>
            <w:tcW w:w="4898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平顶山学院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14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平顶山市光电精密检测重点实验室</w:t>
            </w:r>
          </w:p>
        </w:tc>
        <w:tc>
          <w:tcPr>
            <w:tcW w:w="4898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平顶山学院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15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平顶山市智能制造重点实验室</w:t>
            </w:r>
          </w:p>
        </w:tc>
        <w:tc>
          <w:tcPr>
            <w:tcW w:w="4898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平顶山工业职业技术学院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16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平顶山市智慧矿山通信技术重点实验室</w:t>
            </w:r>
          </w:p>
        </w:tc>
        <w:tc>
          <w:tcPr>
            <w:tcW w:w="4898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平顶山工业职业技术学院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ascii="仿宋_GB2312" w:hAnsi="宋体" w:cs="宋体"/>
                <w:bCs/>
                <w:sz w:val="24"/>
              </w:rPr>
            </w:pPr>
            <w:r>
              <w:rPr>
                <w:rFonts w:hint="eastAsia" w:ascii="仿宋_GB2312" w:hAnsi="宋体" w:cs="宋体"/>
                <w:bCs/>
                <w:sz w:val="24"/>
              </w:rPr>
              <w:t>17</w:t>
            </w:r>
          </w:p>
        </w:tc>
        <w:tc>
          <w:tcPr>
            <w:tcW w:w="6875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平顶山市尼龙原材料重点实验室</w:t>
            </w:r>
          </w:p>
        </w:tc>
        <w:tc>
          <w:tcPr>
            <w:tcW w:w="4898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中国平煤神马集团尼龙科技有限公司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shd w:val="clear" w:color="auto" w:fill="FFFFFF"/>
        <w:spacing w:line="500" w:lineRule="exact"/>
        <w:jc w:val="center"/>
        <w:rPr>
          <w:rFonts w:hint="eastAsia" w:ascii="方正小标宋_GBK" w:hAnsi="方正小标宋简体" w:eastAsia="方正小标宋_GBK" w:cs="方正小标宋简体"/>
          <w:spacing w:val="15"/>
          <w:kern w:val="0"/>
          <w:sz w:val="40"/>
          <w:szCs w:val="40"/>
        </w:rPr>
      </w:pPr>
    </w:p>
    <w:p>
      <w:pPr>
        <w:shd w:val="clear" w:color="auto" w:fill="FFFFFF"/>
        <w:spacing w:line="500" w:lineRule="exact"/>
        <w:jc w:val="center"/>
        <w:rPr>
          <w:rFonts w:hint="eastAsia" w:ascii="方正小标宋_GBK" w:hAnsi="方正小标宋简体" w:eastAsia="方正小标宋_GBK" w:cs="方正小标宋简体"/>
          <w:spacing w:val="15"/>
          <w:kern w:val="0"/>
          <w:sz w:val="40"/>
          <w:szCs w:val="40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E7CE4"/>
    <w:rsid w:val="4B9E7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2017-12-28T01:03:00Z</dcterms:created>
  <dc:creator>Administrator</dc:creator>
  <cp:lastModifiedBy>Administrator</cp:lastModifiedBy>
  <dcterms:modified xsi:type="dcterms:W3CDTF">2017-12-28T01:04:15Z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