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 w:eastAsia="方正小标宋_GBK" w:cs="?????"/>
          <w:sz w:val="40"/>
          <w:szCs w:val="40"/>
        </w:rPr>
      </w:pPr>
      <w:r>
        <w:rPr>
          <w:rFonts w:hint="eastAsia" w:ascii="方正小标宋_GBK" w:hAnsi="宋体" w:eastAsia="方正小标宋_GBK" w:cs="宋体"/>
          <w:sz w:val="40"/>
          <w:szCs w:val="40"/>
        </w:rPr>
        <w:t>平顶山市贫困人口医疗补充救助保险</w:t>
      </w:r>
    </w:p>
    <w:p>
      <w:pPr>
        <w:spacing w:line="700" w:lineRule="exact"/>
        <w:jc w:val="center"/>
        <w:rPr>
          <w:rFonts w:hint="eastAsia" w:ascii="方正小标宋_GBK" w:hAnsi="?????" w:eastAsia="方正小标宋_GBK" w:cs="?????"/>
          <w:sz w:val="40"/>
          <w:szCs w:val="40"/>
        </w:rPr>
      </w:pPr>
      <w:r>
        <w:rPr>
          <w:rFonts w:hint="eastAsia" w:ascii="方正小标宋_GBK" w:hAnsi="宋体" w:eastAsia="方正小标宋_GBK" w:cs="宋体"/>
          <w:sz w:val="40"/>
          <w:szCs w:val="40"/>
        </w:rPr>
        <w:t>实施方案（试行）</w:t>
      </w:r>
    </w:p>
    <w:p>
      <w:pPr>
        <w:spacing w:line="580" w:lineRule="exact"/>
        <w:jc w:val="center"/>
        <w:rPr>
          <w:rFonts w:hint="eastAsia" w:ascii="楷体_GB2312" w:hAnsi="楷体_GB2312" w:eastAsia="楷体_GB2312" w:cs="楷体_GB2312"/>
          <w:bCs/>
          <w:szCs w:val="32"/>
        </w:rPr>
      </w:pPr>
    </w:p>
    <w:p>
      <w:pPr>
        <w:tabs>
          <w:tab w:val="left" w:pos="142"/>
        </w:tabs>
        <w:rPr>
          <w:rFonts w:ascii="仿宋_GB2312" w:hAnsi="仿宋"/>
          <w:szCs w:val="32"/>
        </w:rPr>
      </w:pPr>
      <w:r>
        <w:rPr>
          <w:rFonts w:ascii="仿宋" w:hAnsi="仿宋" w:eastAsia="仿宋"/>
          <w:szCs w:val="32"/>
        </w:rPr>
        <w:t xml:space="preserve">  </w:t>
      </w:r>
      <w:r>
        <w:rPr>
          <w:rFonts w:ascii="仿宋_GB2312" w:hAnsi="仿宋"/>
          <w:szCs w:val="32"/>
        </w:rPr>
        <w:t xml:space="preserve">  </w:t>
      </w:r>
      <w:r>
        <w:rPr>
          <w:rFonts w:hint="eastAsia" w:ascii="仿宋_GB2312" w:hAnsi="仿宋"/>
          <w:szCs w:val="32"/>
        </w:rPr>
        <w:t>为深入推进我市医疗扶贫工作，完善居民医疗保障体系，不断提高农村居民医疗保障水平，减轻居民重大疾病的医疗费用负担，有效化解因病致贫返贫难题，加快脱贫步伐，根据《河南省人民政府关于加快发展现代保险服务业的实施意见》（豫政〔</w:t>
      </w:r>
      <w:r>
        <w:rPr>
          <w:rFonts w:ascii="仿宋_GB2312" w:hAnsi="仿宋"/>
          <w:kern w:val="0"/>
          <w:szCs w:val="32"/>
        </w:rPr>
        <w:t>2</w:t>
      </w:r>
      <w:r>
        <w:rPr>
          <w:rFonts w:hint="eastAsia" w:ascii="仿宋_GB2312" w:hAnsi="仿宋"/>
          <w:kern w:val="0"/>
          <w:szCs w:val="32"/>
        </w:rPr>
        <w:t>014〕</w:t>
      </w:r>
      <w:r>
        <w:rPr>
          <w:rFonts w:hint="eastAsia" w:ascii="仿宋_GB2312" w:hAnsi="仿宋"/>
          <w:szCs w:val="32"/>
        </w:rPr>
        <w:t>93号）、</w:t>
      </w:r>
      <w:r>
        <w:rPr>
          <w:rFonts w:hint="eastAsia" w:ascii="仿宋_GB2312" w:hAnsi="仿宋"/>
          <w:kern w:val="0"/>
          <w:szCs w:val="32"/>
        </w:rPr>
        <w:t>《河南省人民政府关于在市场体系建设中建立公平竞争审查制度的实施意见》（豫政〔</w:t>
      </w:r>
      <w:r>
        <w:rPr>
          <w:rFonts w:ascii="仿宋_GB2312" w:hAnsi="仿宋"/>
          <w:kern w:val="0"/>
          <w:szCs w:val="32"/>
        </w:rPr>
        <w:t>2017</w:t>
      </w:r>
      <w:r>
        <w:rPr>
          <w:rFonts w:hint="eastAsia" w:ascii="仿宋_GB2312" w:hAnsi="仿宋"/>
          <w:kern w:val="0"/>
          <w:szCs w:val="32"/>
        </w:rPr>
        <w:t>〕</w:t>
      </w:r>
      <w:r>
        <w:rPr>
          <w:rFonts w:ascii="仿宋_GB2312" w:hAnsi="仿宋"/>
          <w:kern w:val="0"/>
          <w:szCs w:val="32"/>
        </w:rPr>
        <w:t>7</w:t>
      </w:r>
      <w:r>
        <w:rPr>
          <w:rFonts w:hint="eastAsia" w:ascii="仿宋_GB2312" w:hAnsi="仿宋"/>
          <w:kern w:val="0"/>
          <w:szCs w:val="32"/>
        </w:rPr>
        <w:t>号）</w:t>
      </w:r>
      <w:r>
        <w:rPr>
          <w:rFonts w:hint="eastAsia" w:ascii="仿宋_GB2312" w:hAnsi="仿宋"/>
          <w:szCs w:val="32"/>
        </w:rPr>
        <w:t>等有关精神，结合我市实际，特制定本方案。</w:t>
      </w:r>
    </w:p>
    <w:p>
      <w:pPr>
        <w:pStyle w:val="4"/>
        <w:ind w:left="600" w:firstLine="0" w:firstLineChars="0"/>
        <w:rPr>
          <w:rFonts w:ascii="黑体" w:hAnsi="黑体" w:eastAsia="黑体" w:cs="黑体"/>
          <w:bCs/>
          <w:sz w:val="32"/>
          <w:szCs w:val="32"/>
        </w:rPr>
      </w:pPr>
      <w:r>
        <w:rPr>
          <w:rFonts w:hint="eastAsia" w:ascii="黑体" w:hAnsi="黑体" w:eastAsia="黑体" w:cs="黑体"/>
          <w:bCs/>
          <w:sz w:val="32"/>
          <w:szCs w:val="32"/>
        </w:rPr>
        <w:t>一、指导思想</w:t>
      </w:r>
    </w:p>
    <w:p>
      <w:pPr>
        <w:ind w:firstLine="640" w:firstLineChars="200"/>
        <w:rPr>
          <w:rFonts w:ascii="仿宋_GB2312" w:hAnsi="仿宋"/>
          <w:szCs w:val="32"/>
        </w:rPr>
      </w:pPr>
      <w:r>
        <w:rPr>
          <w:rFonts w:hint="eastAsia" w:ascii="仿宋_GB2312" w:hAnsi="仿宋"/>
          <w:szCs w:val="32"/>
        </w:rPr>
        <w:t>以党的十八大和十八届三中、四中、五中、六中全会精神为指导，贯彻落实中央、省、市的精准扶贫、精准脱贫精神，牢固树立“以民为本、为民解困、为民服务”的理念，进一步完善贫困人口保障体系，充分发挥保险的扶贫脱贫作用，保障贫困人口生活、生产风险，为打赢脱贫攻坚战、构建和谐社会做出贡献。</w:t>
      </w:r>
    </w:p>
    <w:p>
      <w:pPr>
        <w:numPr>
          <w:ilvl w:val="0"/>
          <w:numId w:val="1"/>
        </w:numPr>
        <w:ind w:firstLine="640" w:firstLineChars="200"/>
        <w:rPr>
          <w:rFonts w:ascii="黑体" w:hAnsi="黑体" w:eastAsia="黑体"/>
          <w:bCs/>
          <w:szCs w:val="32"/>
        </w:rPr>
      </w:pPr>
      <w:r>
        <w:rPr>
          <w:rFonts w:hint="eastAsia" w:ascii="黑体" w:hAnsi="黑体" w:eastAsia="黑体"/>
          <w:bCs/>
          <w:szCs w:val="32"/>
        </w:rPr>
        <w:t>基本原则</w:t>
      </w:r>
    </w:p>
    <w:p>
      <w:pPr>
        <w:rPr>
          <w:rFonts w:ascii="仿宋_GB2312" w:hAnsi="仿宋"/>
          <w:szCs w:val="32"/>
        </w:rPr>
      </w:pPr>
      <w:r>
        <w:rPr>
          <w:rFonts w:ascii="仿宋" w:hAnsi="仿宋" w:eastAsia="仿宋"/>
          <w:szCs w:val="32"/>
        </w:rPr>
        <w:t xml:space="preserve">   </w:t>
      </w:r>
      <w:r>
        <w:rPr>
          <w:rFonts w:ascii="楷体" w:hAnsi="楷体" w:eastAsia="楷体" w:cs="楷体"/>
          <w:b/>
          <w:bCs/>
          <w:szCs w:val="32"/>
        </w:rPr>
        <w:t xml:space="preserve"> </w:t>
      </w:r>
      <w:r>
        <w:rPr>
          <w:rFonts w:hint="eastAsia" w:ascii="楷体_GB2312" w:hAnsi="楷体" w:eastAsia="楷体_GB2312" w:cs="楷体"/>
          <w:bCs/>
          <w:szCs w:val="32"/>
        </w:rPr>
        <w:t>（一）以人为本，统筹安排。</w:t>
      </w:r>
      <w:r>
        <w:rPr>
          <w:rFonts w:hint="eastAsia" w:ascii="仿宋_GB2312" w:hAnsi="仿宋"/>
          <w:szCs w:val="32"/>
        </w:rPr>
        <w:t>把维护人民群众生活、健康权益放在首位，充分发挥基本医疗保障、大病保险、医疗补充救助保险与人身意外保险的协同互补作用，切实解决因病、因意外致贫返贫的突出问题，提高精准扶贫成效。</w:t>
      </w:r>
    </w:p>
    <w:p>
      <w:pPr>
        <w:ind w:firstLine="600"/>
        <w:rPr>
          <w:rFonts w:ascii="仿宋" w:hAnsi="仿宋" w:eastAsia="仿宋"/>
          <w:szCs w:val="32"/>
        </w:rPr>
      </w:pPr>
      <w:r>
        <w:rPr>
          <w:rFonts w:hint="eastAsia" w:ascii="楷体_GB2312" w:hAnsi="楷体" w:eastAsia="楷体_GB2312" w:cs="楷体"/>
          <w:bCs/>
          <w:szCs w:val="32"/>
        </w:rPr>
        <w:t>（二）政府主导，专业运作。</w:t>
      </w:r>
      <w:r>
        <w:rPr>
          <w:rFonts w:hint="eastAsia" w:ascii="仿宋_GB2312" w:hAnsi="仿宋"/>
          <w:szCs w:val="32"/>
        </w:rPr>
        <w:t>各县（市、区）负责基本政策制度的制定、组织协调、筹资管理。发挥市场机制作用，支持中原农业保险公司承办医疗补充救助保险、人身意外保险。实行“一站式”服务，切实提高保险的运行效率、服务水平和质量。</w:t>
      </w:r>
    </w:p>
    <w:p>
      <w:pPr>
        <w:ind w:firstLine="600"/>
        <w:rPr>
          <w:rFonts w:ascii="仿宋_GB2312" w:hAnsi="仿宋"/>
          <w:szCs w:val="32"/>
        </w:rPr>
      </w:pPr>
      <w:r>
        <w:rPr>
          <w:rFonts w:hint="eastAsia" w:ascii="楷体_GB2312" w:hAnsi="楷体" w:eastAsia="楷体_GB2312" w:cs="楷体"/>
          <w:bCs/>
          <w:szCs w:val="32"/>
        </w:rPr>
        <w:t>（三）责任共担，持续发展。</w:t>
      </w:r>
      <w:r>
        <w:rPr>
          <w:rFonts w:hint="eastAsia" w:ascii="仿宋_GB2312" w:hAnsi="仿宋"/>
          <w:szCs w:val="32"/>
        </w:rPr>
        <w:t>强化社会互助共济的意识和作用，形成市、县两级政府和中原农业保险公司共同分担机制。合理测算，稳妥起步，规范运作，确保资金安全、群众受益，探索可持续发展模式。</w:t>
      </w: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三、筹资机制</w:t>
      </w:r>
    </w:p>
    <w:p>
      <w:pPr>
        <w:ind w:firstLine="600"/>
        <w:rPr>
          <w:rFonts w:ascii="楷体_GB2312" w:hAnsi="楷体" w:eastAsia="楷体_GB2312" w:cs="楷体"/>
          <w:bCs/>
          <w:szCs w:val="32"/>
        </w:rPr>
      </w:pPr>
      <w:r>
        <w:rPr>
          <w:rFonts w:hint="eastAsia" w:ascii="楷体_GB2312" w:hAnsi="楷体" w:eastAsia="楷体_GB2312" w:cs="楷体"/>
          <w:bCs/>
          <w:szCs w:val="32"/>
        </w:rPr>
        <w:t>（一）筹资标准</w:t>
      </w:r>
    </w:p>
    <w:p>
      <w:pPr>
        <w:ind w:firstLine="600"/>
        <w:rPr>
          <w:rFonts w:ascii="仿宋_GB2312" w:hAnsi="仿宋"/>
          <w:szCs w:val="32"/>
        </w:rPr>
      </w:pPr>
      <w:r>
        <w:rPr>
          <w:rFonts w:hint="eastAsia" w:ascii="仿宋_GB2312" w:hAnsi="仿宋"/>
          <w:szCs w:val="32"/>
        </w:rPr>
        <w:t>根据我市近几年基本医疗保险补偿水平、大额医疗费用以及人身意外风险的基本情况，经精细测算，人均筹资保费：医疗补充救助保险</w:t>
      </w:r>
      <w:r>
        <w:rPr>
          <w:rFonts w:ascii="仿宋_GB2312" w:hAnsi="仿宋"/>
          <w:szCs w:val="32"/>
        </w:rPr>
        <w:t>50</w:t>
      </w:r>
      <w:r>
        <w:rPr>
          <w:rFonts w:hint="eastAsia" w:ascii="仿宋_GB2312" w:hAnsi="仿宋"/>
          <w:szCs w:val="32"/>
        </w:rPr>
        <w:t>元</w:t>
      </w:r>
      <w:r>
        <w:rPr>
          <w:rFonts w:ascii="仿宋_GB2312" w:hAnsi="仿宋"/>
          <w:szCs w:val="32"/>
        </w:rPr>
        <w:t>/</w:t>
      </w:r>
      <w:r>
        <w:rPr>
          <w:rFonts w:hint="eastAsia" w:ascii="仿宋_GB2312" w:hAnsi="仿宋"/>
          <w:szCs w:val="32"/>
        </w:rPr>
        <w:t>年·人，人身意外保险</w:t>
      </w:r>
      <w:r>
        <w:rPr>
          <w:rFonts w:ascii="仿宋_GB2312" w:hAnsi="仿宋"/>
          <w:szCs w:val="32"/>
        </w:rPr>
        <w:t>130</w:t>
      </w:r>
      <w:r>
        <w:rPr>
          <w:rFonts w:hint="eastAsia" w:ascii="仿宋_GB2312" w:hAnsi="仿宋"/>
          <w:szCs w:val="32"/>
        </w:rPr>
        <w:t>元</w:t>
      </w:r>
      <w:r>
        <w:rPr>
          <w:rFonts w:ascii="仿宋_GB2312" w:hAnsi="仿宋"/>
          <w:szCs w:val="32"/>
        </w:rPr>
        <w:t>/</w:t>
      </w:r>
      <w:r>
        <w:rPr>
          <w:rFonts w:hint="eastAsia" w:ascii="仿宋_GB2312" w:hAnsi="仿宋"/>
          <w:szCs w:val="32"/>
        </w:rPr>
        <w:t>年·人。</w:t>
      </w:r>
    </w:p>
    <w:p>
      <w:pPr>
        <w:ind w:firstLine="600"/>
        <w:rPr>
          <w:rFonts w:ascii="楷体_GB2312" w:hAnsi="楷体" w:eastAsia="楷体_GB2312" w:cs="楷体"/>
          <w:bCs/>
          <w:szCs w:val="32"/>
        </w:rPr>
      </w:pPr>
      <w:r>
        <w:rPr>
          <w:rFonts w:hint="eastAsia" w:ascii="楷体_GB2312" w:hAnsi="楷体" w:eastAsia="楷体_GB2312" w:cs="楷体"/>
          <w:bCs/>
          <w:szCs w:val="32"/>
        </w:rPr>
        <w:t>（二）资金来源</w:t>
      </w:r>
    </w:p>
    <w:p>
      <w:pPr>
        <w:ind w:firstLine="600"/>
        <w:rPr>
          <w:rFonts w:ascii="仿宋_GB2312" w:hAnsi="仿宋"/>
          <w:szCs w:val="32"/>
        </w:rPr>
      </w:pPr>
      <w:r>
        <w:rPr>
          <w:rFonts w:hint="eastAsia" w:ascii="仿宋_GB2312" w:hAnsi="仿宋"/>
          <w:szCs w:val="32"/>
        </w:rPr>
        <w:t>由市、县两级财政各承担</w:t>
      </w:r>
      <w:r>
        <w:rPr>
          <w:rFonts w:ascii="仿宋_GB2312" w:hAnsi="仿宋"/>
          <w:szCs w:val="32"/>
        </w:rPr>
        <w:t>50</w:t>
      </w:r>
      <w:r>
        <w:rPr>
          <w:rFonts w:hint="eastAsia" w:ascii="仿宋_GB2312" w:hAnsi="仿宋"/>
          <w:szCs w:val="32"/>
        </w:rPr>
        <w:t>％。</w:t>
      </w:r>
    </w:p>
    <w:p>
      <w:pPr>
        <w:ind w:firstLine="640" w:firstLineChars="200"/>
        <w:rPr>
          <w:rFonts w:ascii="黑体" w:hAnsi="黑体" w:eastAsia="黑体"/>
          <w:szCs w:val="32"/>
        </w:rPr>
      </w:pPr>
      <w:r>
        <w:rPr>
          <w:rFonts w:hint="eastAsia" w:ascii="黑体" w:hAnsi="黑体" w:eastAsia="黑体"/>
          <w:szCs w:val="32"/>
        </w:rPr>
        <w:t>四、参保内容</w:t>
      </w:r>
    </w:p>
    <w:p>
      <w:pPr>
        <w:ind w:firstLine="640" w:firstLineChars="200"/>
        <w:rPr>
          <w:rFonts w:ascii="楷体_GB2312" w:hAnsi="楷体" w:eastAsia="楷体_GB2312" w:cs="楷体"/>
          <w:bCs/>
          <w:szCs w:val="32"/>
        </w:rPr>
      </w:pPr>
      <w:r>
        <w:rPr>
          <w:rFonts w:hint="eastAsia" w:ascii="楷体_GB2312" w:hAnsi="楷体" w:eastAsia="楷体_GB2312" w:cs="楷体"/>
          <w:bCs/>
          <w:szCs w:val="32"/>
        </w:rPr>
        <w:t>（一）投保对象</w:t>
      </w:r>
    </w:p>
    <w:p>
      <w:pPr>
        <w:ind w:firstLine="600"/>
        <w:rPr>
          <w:rFonts w:hint="eastAsia" w:ascii="仿宋_GB2312" w:hAnsi="仿宋"/>
          <w:szCs w:val="32"/>
        </w:rPr>
      </w:pPr>
      <w:r>
        <w:rPr>
          <w:rFonts w:hint="eastAsia" w:ascii="仿宋_GB2312" w:hAnsi="仿宋"/>
          <w:szCs w:val="32"/>
        </w:rPr>
        <w:t>全市贫困人口（建档立卡贫困人口、特困人员救助供养对象、城乡最低生活保障对象、其他生活特别困难的人员）。具体贫困人口投保对象由县（市、区）扶贫部门认定。</w:t>
      </w:r>
    </w:p>
    <w:p>
      <w:pPr>
        <w:ind w:firstLine="640" w:firstLineChars="200"/>
        <w:rPr>
          <w:rFonts w:ascii="楷体_GB2312" w:hAnsi="楷体" w:eastAsia="楷体_GB2312" w:cs="楷体"/>
          <w:bCs/>
          <w:szCs w:val="32"/>
        </w:rPr>
      </w:pPr>
      <w:r>
        <w:rPr>
          <w:rFonts w:hint="eastAsia" w:ascii="楷体_GB2312" w:hAnsi="楷体" w:eastAsia="楷体_GB2312" w:cs="楷体"/>
          <w:bCs/>
          <w:szCs w:val="32"/>
        </w:rPr>
        <w:t>（二）保险险种</w:t>
      </w:r>
    </w:p>
    <w:p>
      <w:pPr>
        <w:ind w:firstLine="640" w:firstLineChars="200"/>
        <w:rPr>
          <w:rFonts w:ascii="仿宋_GB2312" w:hAnsi="仿宋"/>
          <w:szCs w:val="32"/>
        </w:rPr>
      </w:pPr>
      <w:r>
        <w:rPr>
          <w:rFonts w:ascii="仿宋_GB2312" w:hAnsi="仿宋"/>
          <w:szCs w:val="32"/>
        </w:rPr>
        <w:t>1.</w:t>
      </w:r>
      <w:r>
        <w:rPr>
          <w:rFonts w:hint="eastAsia" w:ascii="仿宋_GB2312" w:hAnsi="仿宋"/>
          <w:szCs w:val="32"/>
        </w:rPr>
        <w:t>医疗补充救助保险。</w:t>
      </w:r>
    </w:p>
    <w:p>
      <w:pPr>
        <w:ind w:firstLine="640" w:firstLineChars="200"/>
        <w:rPr>
          <w:rFonts w:ascii="仿宋_GB2312" w:hAnsi="仿宋"/>
          <w:szCs w:val="32"/>
        </w:rPr>
      </w:pPr>
      <w:r>
        <w:rPr>
          <w:rFonts w:ascii="仿宋_GB2312" w:hAnsi="仿宋"/>
          <w:szCs w:val="32"/>
        </w:rPr>
        <w:t>2.</w:t>
      </w:r>
      <w:r>
        <w:rPr>
          <w:rFonts w:hint="eastAsia" w:ascii="仿宋_GB2312" w:hAnsi="仿宋"/>
          <w:szCs w:val="32"/>
        </w:rPr>
        <w:t>人身意外保险。</w:t>
      </w:r>
    </w:p>
    <w:p>
      <w:pPr>
        <w:tabs>
          <w:tab w:val="left" w:pos="142"/>
        </w:tabs>
        <w:ind w:firstLine="640" w:firstLineChars="200"/>
        <w:rPr>
          <w:rFonts w:ascii="楷体_GB2312" w:hAnsi="楷体" w:eastAsia="楷体_GB2312" w:cs="楷体"/>
          <w:bCs/>
          <w:szCs w:val="32"/>
        </w:rPr>
      </w:pPr>
      <w:r>
        <w:rPr>
          <w:rFonts w:hint="eastAsia" w:ascii="楷体_GB2312" w:hAnsi="楷体" w:eastAsia="楷体_GB2312" w:cs="楷体"/>
          <w:bCs/>
          <w:szCs w:val="32"/>
        </w:rPr>
        <w:t>（三）保障范围</w:t>
      </w:r>
    </w:p>
    <w:p>
      <w:pPr>
        <w:ind w:right="128" w:rightChars="40" w:firstLine="563" w:firstLineChars="176"/>
        <w:rPr>
          <w:rFonts w:ascii="仿宋_GB2312" w:hAnsi="仿宋"/>
          <w:szCs w:val="32"/>
        </w:rPr>
      </w:pPr>
      <w:r>
        <w:rPr>
          <w:rFonts w:ascii="仿宋_GB2312" w:hAnsi="仿宋"/>
          <w:szCs w:val="32"/>
        </w:rPr>
        <w:t xml:space="preserve"> </w:t>
      </w:r>
      <w:r>
        <w:rPr>
          <w:rFonts w:hint="eastAsia" w:ascii="仿宋_GB2312" w:hAnsi="仿宋"/>
          <w:szCs w:val="32"/>
        </w:rPr>
        <w:t>参保人员保险期间内因疾病住院治疗和因意外事故住院治疗产生的医疗费用经新农合、大病保险补偿及其他政府项目补偿后个人负担的合规费用部分。</w:t>
      </w:r>
    </w:p>
    <w:p>
      <w:pPr>
        <w:ind w:firstLine="640" w:firstLineChars="200"/>
        <w:rPr>
          <w:rFonts w:ascii="楷体_GB2312" w:hAnsi="楷体" w:eastAsia="楷体_GB2312" w:cs="楷体"/>
          <w:bCs/>
          <w:szCs w:val="32"/>
        </w:rPr>
      </w:pPr>
      <w:r>
        <w:rPr>
          <w:rFonts w:hint="eastAsia" w:ascii="楷体_GB2312" w:hAnsi="楷体" w:eastAsia="楷体_GB2312" w:cs="楷体"/>
          <w:bCs/>
          <w:szCs w:val="32"/>
        </w:rPr>
        <w:t>（四）赔偿标准</w:t>
      </w:r>
    </w:p>
    <w:p>
      <w:pPr>
        <w:ind w:firstLine="640" w:firstLineChars="200"/>
        <w:rPr>
          <w:rFonts w:ascii="仿宋_GB2312" w:hAnsi="楷体" w:cs="楷体"/>
          <w:b/>
          <w:bCs/>
          <w:szCs w:val="32"/>
        </w:rPr>
      </w:pPr>
      <w:r>
        <w:rPr>
          <w:rFonts w:hint="eastAsia" w:ascii="仿宋_GB2312" w:hAnsi="仿宋"/>
          <w:szCs w:val="32"/>
        </w:rPr>
        <w:t>以参保人员保险期间内经新农合、大病保险补偿及其他政府项目补偿后自付的合规费用</w:t>
      </w:r>
      <w:r>
        <w:rPr>
          <w:rFonts w:ascii="仿宋_GB2312" w:hAnsi="仿宋"/>
          <w:szCs w:val="32"/>
        </w:rPr>
        <w:t>6000</w:t>
      </w:r>
      <w:r>
        <w:rPr>
          <w:rFonts w:hint="eastAsia" w:ascii="仿宋_GB2312" w:hAnsi="仿宋"/>
          <w:szCs w:val="32"/>
        </w:rPr>
        <w:t>元为起付线。</w:t>
      </w:r>
      <w:r>
        <w:rPr>
          <w:rFonts w:ascii="仿宋_GB2312" w:hAnsi="仿宋"/>
          <w:szCs w:val="32"/>
        </w:rPr>
        <w:t>6000</w:t>
      </w:r>
      <w:r>
        <w:rPr>
          <w:rFonts w:hint="eastAsia" w:ascii="仿宋_GB2312" w:hAnsi="仿宋"/>
          <w:szCs w:val="32"/>
        </w:rPr>
        <w:t>元以上部分</w:t>
      </w:r>
      <w:r>
        <w:rPr>
          <w:rFonts w:ascii="仿宋_GB2312" w:hAnsi="仿宋"/>
          <w:szCs w:val="32"/>
        </w:rPr>
        <w:t>100%</w:t>
      </w:r>
      <w:r>
        <w:rPr>
          <w:rFonts w:hint="eastAsia" w:ascii="仿宋_GB2312" w:hAnsi="仿宋"/>
          <w:szCs w:val="32"/>
        </w:rPr>
        <w:t>报销，</w:t>
      </w:r>
      <w:r>
        <w:rPr>
          <w:rFonts w:ascii="仿宋_GB2312" w:hAnsi="仿宋"/>
          <w:szCs w:val="32"/>
        </w:rPr>
        <w:t>6000</w:t>
      </w:r>
      <w:r>
        <w:rPr>
          <w:rFonts w:hint="eastAsia" w:ascii="仿宋_GB2312" w:hAnsi="仿宋"/>
          <w:szCs w:val="32"/>
        </w:rPr>
        <w:t>元以下的部分按</w:t>
      </w:r>
      <w:r>
        <w:rPr>
          <w:rFonts w:ascii="仿宋_GB2312" w:hAnsi="仿宋"/>
          <w:szCs w:val="32"/>
        </w:rPr>
        <w:t>50%</w:t>
      </w:r>
      <w:r>
        <w:rPr>
          <w:rFonts w:hint="eastAsia" w:ascii="仿宋_GB2312" w:hAnsi="仿宋"/>
          <w:szCs w:val="32"/>
        </w:rPr>
        <w:t>报销。医疗补充救助保险年度最高赔付限额</w:t>
      </w:r>
      <w:r>
        <w:rPr>
          <w:rFonts w:ascii="仿宋_GB2312" w:hAnsi="仿宋"/>
          <w:szCs w:val="32"/>
        </w:rPr>
        <w:t>20</w:t>
      </w:r>
      <w:r>
        <w:rPr>
          <w:rFonts w:hint="eastAsia" w:ascii="仿宋_GB2312" w:hAnsi="仿宋"/>
          <w:szCs w:val="32"/>
        </w:rPr>
        <w:t>万元，人身意外保险赔偿标准具体见下表</w:t>
      </w:r>
      <w:r>
        <w:rPr>
          <w:rFonts w:ascii="仿宋_GB2312" w:hAnsi="仿宋"/>
          <w:szCs w:val="32"/>
        </w:rPr>
        <w:t>:</w:t>
      </w:r>
      <w:r>
        <w:rPr>
          <w:rFonts w:ascii="仿宋_GB2312" w:hAnsi="楷体" w:cs="楷体"/>
          <w:b/>
          <w:bCs/>
          <w:szCs w:val="32"/>
        </w:rPr>
        <w:t xml:space="preserve">    </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265"/>
        <w:gridCol w:w="226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560" w:lineRule="exact"/>
              <w:jc w:val="center"/>
              <w:rPr>
                <w:rFonts w:ascii="仿宋_GB2312" w:hAnsi="楷体" w:cs="楷体"/>
                <w:bCs/>
                <w:szCs w:val="32"/>
              </w:rPr>
            </w:pPr>
            <w:r>
              <w:rPr>
                <w:rFonts w:hint="eastAsia" w:ascii="仿宋_GB2312" w:hAnsi="楷体" w:cs="楷体"/>
                <w:bCs/>
                <w:szCs w:val="32"/>
              </w:rPr>
              <w:t>被保险人</w:t>
            </w:r>
          </w:p>
        </w:tc>
        <w:tc>
          <w:tcPr>
            <w:tcW w:w="2265" w:type="dxa"/>
            <w:vAlign w:val="center"/>
          </w:tcPr>
          <w:p>
            <w:pPr>
              <w:spacing w:line="560" w:lineRule="exact"/>
              <w:jc w:val="center"/>
              <w:rPr>
                <w:rFonts w:ascii="仿宋_GB2312" w:hAnsi="楷体" w:cs="楷体"/>
                <w:bCs/>
                <w:szCs w:val="32"/>
              </w:rPr>
            </w:pPr>
            <w:r>
              <w:rPr>
                <w:rFonts w:hint="eastAsia" w:ascii="仿宋_GB2312" w:hAnsi="楷体" w:cs="楷体"/>
                <w:bCs/>
                <w:szCs w:val="32"/>
              </w:rPr>
              <w:t>险种</w:t>
            </w:r>
          </w:p>
        </w:tc>
        <w:tc>
          <w:tcPr>
            <w:tcW w:w="2265" w:type="dxa"/>
            <w:vAlign w:val="center"/>
          </w:tcPr>
          <w:p>
            <w:pPr>
              <w:spacing w:line="560" w:lineRule="exact"/>
              <w:jc w:val="center"/>
              <w:rPr>
                <w:rFonts w:ascii="仿宋_GB2312" w:hAnsi="楷体" w:cs="楷体"/>
                <w:bCs/>
                <w:szCs w:val="32"/>
              </w:rPr>
            </w:pPr>
            <w:r>
              <w:rPr>
                <w:rFonts w:hint="eastAsia" w:ascii="仿宋_GB2312" w:hAnsi="楷体" w:cs="楷体"/>
                <w:bCs/>
                <w:szCs w:val="32"/>
              </w:rPr>
              <w:t>保额（元）</w:t>
            </w:r>
          </w:p>
        </w:tc>
        <w:tc>
          <w:tcPr>
            <w:tcW w:w="1950" w:type="dxa"/>
            <w:vAlign w:val="top"/>
          </w:tcPr>
          <w:p>
            <w:pPr>
              <w:spacing w:line="560" w:lineRule="exact"/>
              <w:jc w:val="center"/>
              <w:rPr>
                <w:rFonts w:ascii="仿宋_GB2312" w:hAnsi="楷体" w:cs="楷体"/>
                <w:bCs/>
                <w:szCs w:val="32"/>
              </w:rPr>
            </w:pPr>
            <w:r>
              <w:rPr>
                <w:rFonts w:hint="eastAsia" w:ascii="仿宋_GB2312" w:hAnsi="楷体" w:cs="楷体"/>
                <w:bCs/>
                <w:szCs w:val="32"/>
              </w:rPr>
              <w:t>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restart"/>
            <w:shd w:val="clear" w:color="auto" w:fill="auto"/>
            <w:vAlign w:val="center"/>
          </w:tcPr>
          <w:p>
            <w:pPr>
              <w:jc w:val="center"/>
              <w:rPr>
                <w:rFonts w:ascii="仿宋_GB2312" w:hAnsi="仿宋" w:cs="仿宋"/>
                <w:bCs/>
                <w:szCs w:val="21"/>
              </w:rPr>
            </w:pPr>
            <w:r>
              <w:rPr>
                <w:rFonts w:hint="eastAsia" w:ascii="仿宋_GB2312" w:hAnsi="仿宋" w:cs="仿宋"/>
                <w:bCs/>
                <w:szCs w:val="21"/>
              </w:rPr>
              <w:t>人身意外（</w:t>
            </w:r>
            <w:r>
              <w:rPr>
                <w:rFonts w:ascii="仿宋_GB2312" w:hAnsi="仿宋" w:cs="仿宋"/>
                <w:bCs/>
                <w:szCs w:val="21"/>
              </w:rPr>
              <w:t>80</w:t>
            </w:r>
            <w:r>
              <w:rPr>
                <w:rFonts w:hint="eastAsia" w:ascii="仿宋_GB2312" w:hAnsi="仿宋" w:cs="仿宋"/>
                <w:bCs/>
                <w:szCs w:val="21"/>
              </w:rPr>
              <w:t>岁及以上）</w:t>
            </w: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人身意外险</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5000</w:t>
            </w:r>
          </w:p>
        </w:tc>
        <w:tc>
          <w:tcPr>
            <w:tcW w:w="1950" w:type="dxa"/>
            <w:vMerge w:val="restart"/>
            <w:shd w:val="clear" w:color="auto" w:fill="auto"/>
            <w:vAlign w:val="center"/>
          </w:tcPr>
          <w:p>
            <w:pPr>
              <w:jc w:val="center"/>
              <w:rPr>
                <w:rFonts w:ascii="仿宋_GB2312"/>
              </w:rPr>
            </w:pPr>
            <w:r>
              <w:rPr>
                <w:rFonts w:ascii="仿宋_GB2312" w:hAnsi="仿宋" w:cs="仿宋"/>
                <w:bCs/>
                <w:szCs w:val="21"/>
              </w:rPr>
              <w:t>130</w:t>
            </w:r>
            <w:r>
              <w:rPr>
                <w:rFonts w:hint="eastAsia" w:ascii="仿宋_GB2312" w:hAnsi="仿宋" w:cs="仿宋"/>
                <w:bCs/>
                <w:szCs w:val="21"/>
              </w:rPr>
              <w:t>元</w:t>
            </w:r>
            <w:r>
              <w:rPr>
                <w:rFonts w:ascii="仿宋_GB2312" w:hAnsi="仿宋" w:cs="仿宋"/>
                <w:bCs/>
                <w:szCs w:val="21"/>
              </w:rPr>
              <w:t>/</w:t>
            </w:r>
            <w:r>
              <w:rPr>
                <w:rFonts w:hint="eastAsia" w:ascii="仿宋_GB2312" w:hAnsi="仿宋"/>
                <w:szCs w:val="32"/>
              </w:rPr>
              <w:t>年·</w:t>
            </w:r>
            <w:r>
              <w:rPr>
                <w:rFonts w:hint="eastAsia" w:ascii="仿宋_GB2312" w:hAnsi="仿宋" w:cs="仿宋"/>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continue"/>
            <w:shd w:val="clear" w:color="auto" w:fill="auto"/>
            <w:vAlign w:val="center"/>
          </w:tcPr>
          <w:p>
            <w:pPr>
              <w:spacing w:line="560" w:lineRule="exact"/>
              <w:jc w:val="center"/>
              <w:rPr>
                <w:rFonts w:ascii="仿宋_GB2312" w:hAnsi="仿宋" w:cs="仿宋"/>
                <w:bCs/>
                <w:szCs w:val="21"/>
              </w:rPr>
            </w:pP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附加医疗</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2000</w:t>
            </w:r>
          </w:p>
        </w:tc>
        <w:tc>
          <w:tcPr>
            <w:tcW w:w="1950" w:type="dxa"/>
            <w:vMerge w:val="continue"/>
            <w:shd w:val="clear" w:color="auto" w:fill="auto"/>
            <w:vAlign w:val="top"/>
          </w:tcPr>
          <w:p>
            <w:pPr>
              <w:spacing w:line="560" w:lineRule="exact"/>
              <w:jc w:val="center"/>
              <w:rPr>
                <w:rFonts w:ascii="仿宋_GB2312" w:hAnsi="楷体" w:cs="楷体"/>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restart"/>
            <w:shd w:val="clear" w:color="auto" w:fill="auto"/>
            <w:vAlign w:val="center"/>
          </w:tcPr>
          <w:p>
            <w:pPr>
              <w:spacing w:line="560" w:lineRule="exact"/>
              <w:jc w:val="center"/>
              <w:rPr>
                <w:rFonts w:hint="eastAsia" w:ascii="仿宋_GB2312" w:hAnsi="仿宋" w:cs="仿宋"/>
                <w:bCs/>
                <w:szCs w:val="21"/>
              </w:rPr>
            </w:pPr>
            <w:r>
              <w:rPr>
                <w:rFonts w:hint="eastAsia" w:ascii="仿宋_GB2312" w:hAnsi="仿宋" w:cs="仿宋"/>
                <w:bCs/>
                <w:szCs w:val="21"/>
              </w:rPr>
              <w:t>人身意外</w:t>
            </w:r>
          </w:p>
          <w:p>
            <w:pPr>
              <w:spacing w:line="560" w:lineRule="exact"/>
              <w:jc w:val="center"/>
              <w:rPr>
                <w:rFonts w:ascii="仿宋_GB2312" w:hAnsi="仿宋" w:cs="仿宋"/>
                <w:bCs/>
                <w:szCs w:val="21"/>
              </w:rPr>
            </w:pPr>
            <w:r>
              <w:rPr>
                <w:rFonts w:hint="eastAsia" w:ascii="仿宋_GB2312" w:hAnsi="仿宋" w:cs="仿宋"/>
                <w:bCs/>
                <w:szCs w:val="21"/>
              </w:rPr>
              <w:t>（</w:t>
            </w:r>
            <w:r>
              <w:rPr>
                <w:rFonts w:ascii="仿宋_GB2312" w:hAnsi="仿宋" w:cs="仿宋"/>
                <w:bCs/>
                <w:szCs w:val="21"/>
              </w:rPr>
              <w:t>66</w:t>
            </w:r>
            <w:r>
              <w:rPr>
                <w:rFonts w:hint="eastAsia" w:ascii="仿宋_GB2312" w:hAnsi="仿宋" w:cs="仿宋"/>
                <w:bCs/>
                <w:szCs w:val="21"/>
              </w:rPr>
              <w:t>—</w:t>
            </w:r>
            <w:r>
              <w:rPr>
                <w:rFonts w:ascii="仿宋_GB2312" w:hAnsi="仿宋" w:cs="仿宋"/>
                <w:bCs/>
                <w:szCs w:val="21"/>
              </w:rPr>
              <w:t>79</w:t>
            </w:r>
            <w:r>
              <w:rPr>
                <w:rFonts w:hint="eastAsia" w:ascii="仿宋_GB2312" w:hAnsi="仿宋" w:cs="仿宋"/>
                <w:bCs/>
                <w:szCs w:val="21"/>
              </w:rPr>
              <w:t>岁）</w:t>
            </w: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人身意外险</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15000</w:t>
            </w:r>
          </w:p>
        </w:tc>
        <w:tc>
          <w:tcPr>
            <w:tcW w:w="1950" w:type="dxa"/>
            <w:vMerge w:val="continue"/>
            <w:shd w:val="clear" w:color="auto" w:fill="auto"/>
            <w:vAlign w:val="top"/>
          </w:tcPr>
          <w:p>
            <w:pPr>
              <w:spacing w:line="560" w:lineRule="exact"/>
              <w:jc w:val="center"/>
              <w:rPr>
                <w:rFonts w:ascii="仿宋_GB2312" w:hAnsi="楷体" w:cs="楷体"/>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continue"/>
            <w:shd w:val="clear" w:color="auto" w:fill="auto"/>
            <w:vAlign w:val="center"/>
          </w:tcPr>
          <w:p>
            <w:pPr>
              <w:spacing w:line="560" w:lineRule="exact"/>
              <w:jc w:val="center"/>
              <w:rPr>
                <w:rFonts w:ascii="仿宋_GB2312" w:hAnsi="仿宋" w:cs="仿宋"/>
                <w:bCs/>
                <w:szCs w:val="21"/>
              </w:rPr>
            </w:pP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附加医疗</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5000</w:t>
            </w:r>
          </w:p>
        </w:tc>
        <w:tc>
          <w:tcPr>
            <w:tcW w:w="1950" w:type="dxa"/>
            <w:vMerge w:val="continue"/>
            <w:shd w:val="clear" w:color="auto" w:fill="auto"/>
            <w:vAlign w:val="top"/>
          </w:tcPr>
          <w:p>
            <w:pPr>
              <w:spacing w:line="560" w:lineRule="exact"/>
              <w:jc w:val="center"/>
              <w:rPr>
                <w:rFonts w:ascii="仿宋_GB2312" w:hAnsi="楷体" w:cs="楷体"/>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restart"/>
            <w:shd w:val="clear" w:color="auto" w:fill="auto"/>
            <w:vAlign w:val="center"/>
          </w:tcPr>
          <w:p>
            <w:pPr>
              <w:spacing w:line="560" w:lineRule="exact"/>
              <w:jc w:val="center"/>
              <w:rPr>
                <w:rFonts w:hint="eastAsia" w:ascii="仿宋_GB2312" w:hAnsi="仿宋" w:cs="仿宋"/>
                <w:bCs/>
                <w:szCs w:val="21"/>
              </w:rPr>
            </w:pPr>
            <w:r>
              <w:rPr>
                <w:rFonts w:hint="eastAsia" w:ascii="仿宋_GB2312" w:hAnsi="仿宋" w:cs="仿宋"/>
                <w:bCs/>
                <w:szCs w:val="21"/>
              </w:rPr>
              <w:t>人身意外</w:t>
            </w:r>
          </w:p>
          <w:p>
            <w:pPr>
              <w:spacing w:line="560" w:lineRule="exact"/>
              <w:jc w:val="center"/>
              <w:rPr>
                <w:rFonts w:ascii="仿宋_GB2312" w:hAnsi="仿宋" w:cs="仿宋"/>
                <w:bCs/>
                <w:szCs w:val="21"/>
              </w:rPr>
            </w:pPr>
            <w:r>
              <w:rPr>
                <w:rFonts w:hint="eastAsia" w:ascii="仿宋_GB2312" w:hAnsi="仿宋" w:cs="仿宋"/>
                <w:bCs/>
                <w:szCs w:val="21"/>
              </w:rPr>
              <w:t>（</w:t>
            </w:r>
            <w:r>
              <w:rPr>
                <w:rFonts w:ascii="仿宋_GB2312" w:hAnsi="仿宋" w:cs="仿宋"/>
                <w:bCs/>
                <w:szCs w:val="21"/>
              </w:rPr>
              <w:t>16</w:t>
            </w:r>
            <w:r>
              <w:rPr>
                <w:rFonts w:hint="eastAsia" w:ascii="仿宋_GB2312" w:hAnsi="仿宋" w:cs="仿宋"/>
                <w:bCs/>
                <w:szCs w:val="21"/>
              </w:rPr>
              <w:t>—</w:t>
            </w:r>
            <w:r>
              <w:rPr>
                <w:rFonts w:ascii="仿宋_GB2312" w:hAnsi="仿宋" w:cs="仿宋"/>
                <w:bCs/>
                <w:szCs w:val="21"/>
              </w:rPr>
              <w:t>65</w:t>
            </w:r>
            <w:r>
              <w:rPr>
                <w:rFonts w:hint="eastAsia" w:ascii="仿宋_GB2312" w:hAnsi="仿宋" w:cs="仿宋"/>
                <w:bCs/>
                <w:szCs w:val="21"/>
              </w:rPr>
              <w:t>岁）</w:t>
            </w: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人身意外险</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100000</w:t>
            </w:r>
          </w:p>
        </w:tc>
        <w:tc>
          <w:tcPr>
            <w:tcW w:w="1950" w:type="dxa"/>
            <w:vMerge w:val="restart"/>
            <w:shd w:val="clear" w:color="auto" w:fill="auto"/>
            <w:vAlign w:val="center"/>
          </w:tcPr>
          <w:p>
            <w:pPr>
              <w:jc w:val="center"/>
              <w:rPr>
                <w:rFonts w:ascii="仿宋_GB2312" w:hAnsi="楷体" w:cs="楷体"/>
                <w:bCs/>
                <w:szCs w:val="32"/>
              </w:rPr>
            </w:pPr>
            <w:r>
              <w:rPr>
                <w:rFonts w:ascii="仿宋_GB2312" w:hAnsi="仿宋" w:cs="仿宋"/>
                <w:bCs/>
                <w:szCs w:val="21"/>
              </w:rPr>
              <w:t>130</w:t>
            </w:r>
            <w:r>
              <w:rPr>
                <w:rFonts w:hint="eastAsia" w:ascii="仿宋_GB2312" w:hAnsi="仿宋" w:cs="仿宋"/>
                <w:bCs/>
                <w:szCs w:val="21"/>
              </w:rPr>
              <w:t>元</w:t>
            </w:r>
            <w:r>
              <w:rPr>
                <w:rFonts w:ascii="仿宋_GB2312" w:hAnsi="仿宋" w:cs="仿宋"/>
                <w:bCs/>
                <w:szCs w:val="21"/>
              </w:rPr>
              <w:t>/</w:t>
            </w:r>
            <w:r>
              <w:rPr>
                <w:rFonts w:hint="eastAsia" w:ascii="仿宋_GB2312" w:hAnsi="仿宋"/>
                <w:szCs w:val="32"/>
              </w:rPr>
              <w:t>年·</w:t>
            </w:r>
            <w:r>
              <w:rPr>
                <w:rFonts w:hint="eastAsia" w:ascii="仿宋_GB2312" w:hAnsi="仿宋" w:cs="仿宋"/>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continue"/>
            <w:shd w:val="clear" w:color="auto" w:fill="auto"/>
            <w:vAlign w:val="center"/>
          </w:tcPr>
          <w:p>
            <w:pPr>
              <w:spacing w:line="560" w:lineRule="exact"/>
              <w:jc w:val="center"/>
              <w:rPr>
                <w:rFonts w:ascii="仿宋_GB2312" w:hAnsi="仿宋" w:cs="仿宋"/>
                <w:bCs/>
                <w:szCs w:val="21"/>
              </w:rPr>
            </w:pP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附加医疗</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20000</w:t>
            </w:r>
          </w:p>
        </w:tc>
        <w:tc>
          <w:tcPr>
            <w:tcW w:w="1950" w:type="dxa"/>
            <w:vMerge w:val="continue"/>
            <w:shd w:val="clear" w:color="auto" w:fill="auto"/>
            <w:vAlign w:val="top"/>
          </w:tcPr>
          <w:p>
            <w:pPr>
              <w:jc w:val="center"/>
              <w:rPr>
                <w:rFonts w:ascii="仿宋_GB2312" w:hAnsi="楷体" w:cs="楷体"/>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restart"/>
            <w:shd w:val="clear" w:color="auto" w:fill="auto"/>
            <w:vAlign w:val="center"/>
          </w:tcPr>
          <w:p>
            <w:pPr>
              <w:jc w:val="center"/>
              <w:rPr>
                <w:rFonts w:hint="eastAsia" w:ascii="仿宋_GB2312" w:hAnsi="仿宋" w:cs="仿宋"/>
                <w:bCs/>
                <w:szCs w:val="21"/>
              </w:rPr>
            </w:pPr>
            <w:r>
              <w:rPr>
                <w:rFonts w:hint="eastAsia" w:ascii="仿宋_GB2312" w:hAnsi="仿宋" w:cs="仿宋"/>
                <w:bCs/>
                <w:szCs w:val="21"/>
              </w:rPr>
              <w:t>人身意外</w:t>
            </w:r>
          </w:p>
          <w:p>
            <w:pPr>
              <w:jc w:val="center"/>
              <w:rPr>
                <w:rFonts w:ascii="仿宋_GB2312" w:hAnsi="仿宋" w:cs="仿宋"/>
                <w:bCs/>
                <w:szCs w:val="21"/>
              </w:rPr>
            </w:pPr>
            <w:r>
              <w:rPr>
                <w:rFonts w:hint="eastAsia" w:ascii="仿宋_GB2312" w:hAnsi="仿宋" w:cs="仿宋"/>
                <w:bCs/>
                <w:szCs w:val="21"/>
              </w:rPr>
              <w:t>（</w:t>
            </w:r>
            <w:r>
              <w:rPr>
                <w:rFonts w:ascii="仿宋_GB2312" w:hAnsi="仿宋" w:cs="仿宋"/>
                <w:bCs/>
                <w:szCs w:val="21"/>
              </w:rPr>
              <w:t>6</w:t>
            </w:r>
            <w:r>
              <w:rPr>
                <w:rFonts w:hint="eastAsia" w:ascii="仿宋_GB2312" w:hAnsi="仿宋" w:cs="仿宋"/>
                <w:bCs/>
                <w:szCs w:val="21"/>
              </w:rPr>
              <w:t>—</w:t>
            </w:r>
            <w:r>
              <w:rPr>
                <w:rFonts w:ascii="仿宋_GB2312" w:hAnsi="仿宋" w:cs="仿宋"/>
                <w:bCs/>
                <w:szCs w:val="21"/>
              </w:rPr>
              <w:t>15</w:t>
            </w:r>
            <w:r>
              <w:rPr>
                <w:rFonts w:hint="eastAsia" w:ascii="仿宋_GB2312" w:hAnsi="仿宋" w:cs="仿宋"/>
                <w:bCs/>
                <w:szCs w:val="21"/>
              </w:rPr>
              <w:t>岁）</w:t>
            </w: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人身意外险</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20000</w:t>
            </w:r>
          </w:p>
        </w:tc>
        <w:tc>
          <w:tcPr>
            <w:tcW w:w="1950" w:type="dxa"/>
            <w:vMerge w:val="continue"/>
            <w:shd w:val="clear" w:color="auto" w:fill="auto"/>
            <w:vAlign w:val="center"/>
          </w:tcPr>
          <w:p>
            <w:pPr>
              <w:jc w:val="center"/>
              <w:rPr>
                <w:rFonts w:ascii="仿宋_GB2312" w:hAnsi="楷体" w:cs="楷体"/>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628" w:type="dxa"/>
            <w:vMerge w:val="continue"/>
            <w:shd w:val="clear" w:color="auto" w:fill="auto"/>
            <w:vAlign w:val="center"/>
          </w:tcPr>
          <w:p>
            <w:pPr>
              <w:spacing w:line="560" w:lineRule="exact"/>
              <w:jc w:val="center"/>
              <w:rPr>
                <w:rFonts w:ascii="仿宋_GB2312" w:hAnsi="仿宋" w:cs="仿宋"/>
                <w:bCs/>
                <w:szCs w:val="21"/>
              </w:rPr>
            </w:pPr>
          </w:p>
        </w:tc>
        <w:tc>
          <w:tcPr>
            <w:tcW w:w="2265" w:type="dxa"/>
            <w:shd w:val="clear" w:color="auto" w:fill="auto"/>
            <w:vAlign w:val="center"/>
          </w:tcPr>
          <w:p>
            <w:pPr>
              <w:spacing w:line="560" w:lineRule="exact"/>
              <w:jc w:val="center"/>
              <w:rPr>
                <w:rFonts w:ascii="仿宋_GB2312" w:hAnsi="仿宋" w:cs="仿宋"/>
                <w:bCs/>
                <w:szCs w:val="21"/>
              </w:rPr>
            </w:pPr>
            <w:r>
              <w:rPr>
                <w:rFonts w:hint="eastAsia" w:ascii="仿宋_GB2312" w:hAnsi="仿宋" w:cs="仿宋"/>
                <w:bCs/>
                <w:szCs w:val="21"/>
              </w:rPr>
              <w:t>附加医疗</w:t>
            </w:r>
          </w:p>
        </w:tc>
        <w:tc>
          <w:tcPr>
            <w:tcW w:w="2265" w:type="dxa"/>
            <w:shd w:val="clear" w:color="auto" w:fill="auto"/>
            <w:vAlign w:val="center"/>
          </w:tcPr>
          <w:p>
            <w:pPr>
              <w:jc w:val="center"/>
              <w:rPr>
                <w:rFonts w:ascii="仿宋_GB2312" w:hAnsi="仿宋" w:cs="仿宋"/>
                <w:bCs/>
                <w:szCs w:val="21"/>
              </w:rPr>
            </w:pPr>
            <w:r>
              <w:rPr>
                <w:rFonts w:ascii="仿宋_GB2312" w:hAnsi="仿宋" w:cs="仿宋"/>
                <w:bCs/>
                <w:szCs w:val="21"/>
              </w:rPr>
              <w:t>5000</w:t>
            </w:r>
          </w:p>
        </w:tc>
        <w:tc>
          <w:tcPr>
            <w:tcW w:w="1950" w:type="dxa"/>
            <w:vMerge w:val="continue"/>
            <w:shd w:val="clear" w:color="auto" w:fill="auto"/>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restart"/>
            <w:shd w:val="clear" w:color="auto" w:fill="auto"/>
            <w:vAlign w:val="center"/>
          </w:tcPr>
          <w:p>
            <w:pPr>
              <w:spacing w:line="560" w:lineRule="exact"/>
              <w:jc w:val="center"/>
              <w:rPr>
                <w:rFonts w:hint="eastAsia" w:ascii="仿宋_GB2312" w:hAnsi="仿宋" w:cs="仿宋"/>
                <w:bCs/>
                <w:szCs w:val="21"/>
              </w:rPr>
            </w:pPr>
            <w:r>
              <w:rPr>
                <w:rFonts w:hint="eastAsia" w:ascii="仿宋_GB2312" w:hAnsi="仿宋" w:cs="仿宋"/>
                <w:bCs/>
                <w:szCs w:val="21"/>
              </w:rPr>
              <w:t>人身意外</w:t>
            </w:r>
          </w:p>
          <w:p>
            <w:pPr>
              <w:spacing w:line="560" w:lineRule="exact"/>
              <w:jc w:val="center"/>
              <w:rPr>
                <w:rFonts w:ascii="仿宋_GB2312" w:hAnsi="楷体" w:cs="楷体"/>
                <w:bCs/>
                <w:szCs w:val="32"/>
              </w:rPr>
            </w:pPr>
            <w:r>
              <w:rPr>
                <w:rFonts w:hint="eastAsia" w:ascii="仿宋_GB2312" w:hAnsi="仿宋" w:cs="仿宋"/>
                <w:bCs/>
                <w:szCs w:val="21"/>
              </w:rPr>
              <w:t>（</w:t>
            </w:r>
            <w:r>
              <w:rPr>
                <w:rFonts w:ascii="仿宋_GB2312" w:hAnsi="仿宋" w:cs="仿宋"/>
                <w:bCs/>
                <w:szCs w:val="21"/>
              </w:rPr>
              <w:t>0</w:t>
            </w:r>
            <w:r>
              <w:rPr>
                <w:rFonts w:hint="eastAsia" w:ascii="仿宋_GB2312" w:hAnsi="仿宋" w:cs="仿宋"/>
                <w:bCs/>
                <w:szCs w:val="21"/>
              </w:rPr>
              <w:t>—</w:t>
            </w:r>
            <w:r>
              <w:rPr>
                <w:rFonts w:ascii="仿宋_GB2312" w:hAnsi="仿宋" w:cs="仿宋"/>
                <w:bCs/>
                <w:szCs w:val="21"/>
              </w:rPr>
              <w:t>5</w:t>
            </w:r>
            <w:r>
              <w:rPr>
                <w:rFonts w:hint="eastAsia" w:ascii="仿宋_GB2312" w:hAnsi="仿宋" w:cs="仿宋"/>
                <w:bCs/>
                <w:szCs w:val="21"/>
              </w:rPr>
              <w:t>岁）</w:t>
            </w:r>
          </w:p>
        </w:tc>
        <w:tc>
          <w:tcPr>
            <w:tcW w:w="2265" w:type="dxa"/>
            <w:shd w:val="clear" w:color="auto" w:fill="auto"/>
            <w:vAlign w:val="center"/>
          </w:tcPr>
          <w:p>
            <w:pPr>
              <w:spacing w:line="560" w:lineRule="exact"/>
              <w:jc w:val="center"/>
              <w:rPr>
                <w:rFonts w:ascii="仿宋_GB2312" w:hAnsi="楷体" w:cs="楷体"/>
                <w:bCs/>
                <w:szCs w:val="32"/>
              </w:rPr>
            </w:pPr>
            <w:r>
              <w:rPr>
                <w:rFonts w:hint="eastAsia" w:ascii="仿宋_GB2312" w:hAnsi="仿宋" w:cs="仿宋"/>
                <w:bCs/>
                <w:szCs w:val="21"/>
              </w:rPr>
              <w:t>人身意外险</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10000</w:t>
            </w:r>
          </w:p>
        </w:tc>
        <w:tc>
          <w:tcPr>
            <w:tcW w:w="1950" w:type="dxa"/>
            <w:vMerge w:val="continue"/>
            <w:shd w:val="clear" w:color="auto" w:fill="auto"/>
            <w:vAlign w:val="top"/>
          </w:tcPr>
          <w:p>
            <w:pPr>
              <w:spacing w:line="560" w:lineRule="exact"/>
              <w:jc w:val="left"/>
              <w:rPr>
                <w:rFonts w:ascii="仿宋_GB2312" w:hAnsi="楷体" w:cs="楷体"/>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Merge w:val="continue"/>
            <w:shd w:val="clear" w:color="auto" w:fill="auto"/>
            <w:vAlign w:val="top"/>
          </w:tcPr>
          <w:p>
            <w:pPr>
              <w:spacing w:line="560" w:lineRule="exact"/>
              <w:jc w:val="center"/>
              <w:rPr>
                <w:rFonts w:ascii="仿宋_GB2312" w:hAnsi="楷体" w:cs="楷体"/>
                <w:bCs/>
                <w:szCs w:val="32"/>
              </w:rPr>
            </w:pPr>
          </w:p>
        </w:tc>
        <w:tc>
          <w:tcPr>
            <w:tcW w:w="2265" w:type="dxa"/>
            <w:shd w:val="clear" w:color="auto" w:fill="auto"/>
            <w:vAlign w:val="center"/>
          </w:tcPr>
          <w:p>
            <w:pPr>
              <w:spacing w:line="560" w:lineRule="exact"/>
              <w:jc w:val="center"/>
              <w:rPr>
                <w:rFonts w:ascii="仿宋_GB2312" w:hAnsi="楷体" w:cs="楷体"/>
                <w:bCs/>
                <w:szCs w:val="32"/>
              </w:rPr>
            </w:pPr>
            <w:r>
              <w:rPr>
                <w:rFonts w:hint="eastAsia" w:ascii="仿宋_GB2312" w:hAnsi="仿宋" w:cs="仿宋"/>
                <w:bCs/>
                <w:szCs w:val="21"/>
              </w:rPr>
              <w:t>附加医疗</w:t>
            </w:r>
          </w:p>
        </w:tc>
        <w:tc>
          <w:tcPr>
            <w:tcW w:w="2265" w:type="dxa"/>
            <w:shd w:val="clear" w:color="auto" w:fill="auto"/>
            <w:vAlign w:val="center"/>
          </w:tcPr>
          <w:p>
            <w:pPr>
              <w:spacing w:line="560" w:lineRule="exact"/>
              <w:jc w:val="center"/>
              <w:rPr>
                <w:rFonts w:ascii="仿宋_GB2312" w:hAnsi="仿宋" w:cs="仿宋"/>
                <w:bCs/>
                <w:szCs w:val="21"/>
              </w:rPr>
            </w:pPr>
            <w:r>
              <w:rPr>
                <w:rFonts w:ascii="仿宋_GB2312" w:hAnsi="仿宋" w:cs="仿宋"/>
                <w:bCs/>
                <w:szCs w:val="21"/>
              </w:rPr>
              <w:t>5000</w:t>
            </w:r>
          </w:p>
        </w:tc>
        <w:tc>
          <w:tcPr>
            <w:tcW w:w="1950" w:type="dxa"/>
            <w:vMerge w:val="continue"/>
            <w:shd w:val="clear" w:color="auto" w:fill="auto"/>
            <w:vAlign w:val="top"/>
          </w:tcPr>
          <w:p>
            <w:pPr>
              <w:spacing w:line="560" w:lineRule="exact"/>
              <w:jc w:val="left"/>
              <w:rPr>
                <w:rFonts w:ascii="仿宋_GB2312" w:hAnsi="楷体" w:cs="楷体"/>
                <w:bCs/>
                <w:szCs w:val="32"/>
              </w:rPr>
            </w:pPr>
          </w:p>
        </w:tc>
      </w:tr>
    </w:tbl>
    <w:p>
      <w:pPr>
        <w:spacing w:line="580" w:lineRule="exact"/>
        <w:ind w:firstLine="640" w:firstLineChars="200"/>
        <w:jc w:val="left"/>
        <w:rPr>
          <w:rFonts w:ascii="黑体" w:hAnsi="黑体" w:eastAsia="黑体"/>
          <w:szCs w:val="32"/>
        </w:rPr>
      </w:pPr>
      <w:r>
        <w:rPr>
          <w:rFonts w:hint="eastAsia" w:ascii="黑体" w:hAnsi="黑体" w:eastAsia="黑体"/>
          <w:szCs w:val="32"/>
        </w:rPr>
        <w:t>五、实行时间</w:t>
      </w:r>
    </w:p>
    <w:p>
      <w:pPr>
        <w:spacing w:line="560" w:lineRule="exact"/>
        <w:ind w:firstLine="640" w:firstLineChars="200"/>
        <w:rPr>
          <w:rFonts w:ascii="仿宋_GB2312" w:hAnsi="仿宋"/>
          <w:szCs w:val="32"/>
        </w:rPr>
      </w:pPr>
      <w:r>
        <w:rPr>
          <w:rFonts w:ascii="仿宋_GB2312" w:hAnsi="仿宋"/>
          <w:szCs w:val="32"/>
        </w:rPr>
        <w:t>2017</w:t>
      </w:r>
      <w:r>
        <w:rPr>
          <w:rFonts w:hint="eastAsia" w:ascii="仿宋_GB2312" w:hAnsi="仿宋"/>
          <w:szCs w:val="32"/>
        </w:rPr>
        <w:t>年</w:t>
      </w:r>
      <w:r>
        <w:rPr>
          <w:rFonts w:ascii="仿宋_GB2312" w:hAnsi="仿宋"/>
          <w:szCs w:val="32"/>
        </w:rPr>
        <w:t>7</w:t>
      </w:r>
      <w:r>
        <w:rPr>
          <w:rFonts w:hint="eastAsia" w:ascii="仿宋_GB2312" w:hAnsi="仿宋"/>
          <w:szCs w:val="32"/>
        </w:rPr>
        <w:t>月</w:t>
      </w:r>
      <w:r>
        <w:rPr>
          <w:rFonts w:ascii="仿宋_GB2312" w:hAnsi="仿宋"/>
          <w:szCs w:val="32"/>
        </w:rPr>
        <w:t>1</w:t>
      </w:r>
      <w:r>
        <w:rPr>
          <w:rFonts w:hint="eastAsia" w:ascii="仿宋_GB2312" w:hAnsi="仿宋"/>
          <w:szCs w:val="32"/>
        </w:rPr>
        <w:t>日—</w:t>
      </w:r>
      <w:r>
        <w:rPr>
          <w:rFonts w:ascii="仿宋_GB2312" w:hAnsi="仿宋"/>
          <w:szCs w:val="32"/>
        </w:rPr>
        <w:t>2018</w:t>
      </w:r>
      <w:r>
        <w:rPr>
          <w:rFonts w:hint="eastAsia" w:ascii="仿宋_GB2312" w:hAnsi="仿宋"/>
          <w:szCs w:val="32"/>
        </w:rPr>
        <w:t>年</w:t>
      </w:r>
      <w:r>
        <w:rPr>
          <w:rFonts w:ascii="仿宋_GB2312" w:hAnsi="仿宋"/>
          <w:szCs w:val="32"/>
        </w:rPr>
        <w:t>12</w:t>
      </w:r>
      <w:r>
        <w:rPr>
          <w:rFonts w:hint="eastAsia" w:ascii="仿宋_GB2312" w:hAnsi="仿宋"/>
          <w:szCs w:val="32"/>
        </w:rPr>
        <w:t>月</w:t>
      </w:r>
      <w:r>
        <w:rPr>
          <w:rFonts w:ascii="仿宋_GB2312" w:hAnsi="仿宋"/>
          <w:szCs w:val="32"/>
        </w:rPr>
        <w:t>31</w:t>
      </w:r>
      <w:r>
        <w:rPr>
          <w:rFonts w:hint="eastAsia" w:ascii="仿宋_GB2312" w:hAnsi="仿宋"/>
          <w:szCs w:val="32"/>
        </w:rPr>
        <w:t>日。</w:t>
      </w:r>
    </w:p>
    <w:p>
      <w:pPr>
        <w:spacing w:line="560" w:lineRule="exact"/>
        <w:ind w:firstLine="640" w:firstLineChars="200"/>
        <w:rPr>
          <w:rFonts w:ascii="仿宋_GB2312" w:hAnsi="仿宋"/>
          <w:szCs w:val="32"/>
        </w:rPr>
      </w:pPr>
      <w:r>
        <w:rPr>
          <w:rFonts w:ascii="仿宋_GB2312" w:hAnsi="仿宋"/>
          <w:szCs w:val="32"/>
        </w:rPr>
        <w:t>2017</w:t>
      </w:r>
      <w:r>
        <w:rPr>
          <w:rFonts w:hint="eastAsia" w:ascii="仿宋_GB2312" w:hAnsi="仿宋"/>
          <w:szCs w:val="32"/>
        </w:rPr>
        <w:t>年</w:t>
      </w:r>
      <w:r>
        <w:rPr>
          <w:rFonts w:ascii="仿宋_GB2312" w:hAnsi="仿宋"/>
          <w:szCs w:val="32"/>
        </w:rPr>
        <w:t>5</w:t>
      </w:r>
      <w:r>
        <w:rPr>
          <w:rFonts w:hint="eastAsia" w:ascii="仿宋_GB2312" w:hAnsi="仿宋"/>
          <w:szCs w:val="32"/>
        </w:rPr>
        <w:t>月开始收取</w:t>
      </w:r>
      <w:r>
        <w:rPr>
          <w:rFonts w:ascii="仿宋_GB2312" w:hAnsi="仿宋"/>
          <w:szCs w:val="32"/>
        </w:rPr>
        <w:t>2017</w:t>
      </w:r>
      <w:r>
        <w:rPr>
          <w:rFonts w:hint="eastAsia" w:ascii="仿宋_GB2312" w:hAnsi="仿宋"/>
          <w:szCs w:val="32"/>
        </w:rPr>
        <w:t>年下半年保费，</w:t>
      </w:r>
      <w:r>
        <w:rPr>
          <w:rFonts w:ascii="仿宋_GB2312" w:hAnsi="仿宋"/>
          <w:szCs w:val="32"/>
        </w:rPr>
        <w:t>2017</w:t>
      </w:r>
      <w:r>
        <w:rPr>
          <w:rFonts w:hint="eastAsia" w:ascii="仿宋_GB2312" w:hAnsi="仿宋"/>
          <w:szCs w:val="32"/>
        </w:rPr>
        <w:t>年</w:t>
      </w:r>
      <w:r>
        <w:rPr>
          <w:rFonts w:ascii="仿宋_GB2312" w:hAnsi="仿宋"/>
          <w:szCs w:val="32"/>
        </w:rPr>
        <w:t>12</w:t>
      </w:r>
      <w:r>
        <w:rPr>
          <w:rFonts w:hint="eastAsia" w:ascii="仿宋_GB2312" w:hAnsi="仿宋"/>
          <w:szCs w:val="32"/>
        </w:rPr>
        <w:t>月开始收取</w:t>
      </w:r>
      <w:r>
        <w:rPr>
          <w:rFonts w:ascii="仿宋_GB2312" w:hAnsi="仿宋"/>
          <w:szCs w:val="32"/>
        </w:rPr>
        <w:t>2018</w:t>
      </w:r>
      <w:r>
        <w:rPr>
          <w:rFonts w:hint="eastAsia" w:ascii="仿宋_GB2312" w:hAnsi="仿宋"/>
          <w:szCs w:val="32"/>
        </w:rPr>
        <w:t>年保险费（</w:t>
      </w:r>
      <w:r>
        <w:rPr>
          <w:rFonts w:ascii="仿宋_GB2312" w:hAnsi="仿宋"/>
          <w:szCs w:val="32"/>
        </w:rPr>
        <w:t>2018</w:t>
      </w:r>
      <w:r>
        <w:rPr>
          <w:rFonts w:hint="eastAsia" w:ascii="仿宋_GB2312" w:hAnsi="仿宋"/>
          <w:szCs w:val="32"/>
        </w:rPr>
        <w:t>年保险费率由双方根据</w:t>
      </w:r>
      <w:r>
        <w:rPr>
          <w:rFonts w:ascii="仿宋_GB2312" w:hAnsi="仿宋"/>
          <w:szCs w:val="32"/>
        </w:rPr>
        <w:t>2017</w:t>
      </w:r>
      <w:r>
        <w:rPr>
          <w:rFonts w:hint="eastAsia" w:ascii="仿宋_GB2312" w:hAnsi="仿宋"/>
          <w:szCs w:val="32"/>
        </w:rPr>
        <w:t>年整体赔付情况进行协商）。</w:t>
      </w:r>
    </w:p>
    <w:p>
      <w:pPr>
        <w:spacing w:line="560" w:lineRule="exact"/>
        <w:ind w:firstLine="640" w:firstLineChars="200"/>
        <w:rPr>
          <w:rFonts w:ascii="黑体" w:hAnsi="黑体" w:eastAsia="黑体"/>
          <w:szCs w:val="32"/>
        </w:rPr>
      </w:pPr>
      <w:r>
        <w:rPr>
          <w:rFonts w:hint="eastAsia" w:ascii="黑体" w:hAnsi="黑体" w:eastAsia="黑体"/>
          <w:szCs w:val="32"/>
        </w:rPr>
        <w:t>六、补充方式</w:t>
      </w:r>
    </w:p>
    <w:p>
      <w:pPr>
        <w:spacing w:line="560" w:lineRule="exact"/>
        <w:ind w:firstLine="480" w:firstLineChars="150"/>
        <w:rPr>
          <w:rFonts w:ascii="仿宋_GB2312" w:hAnsi="仿宋"/>
          <w:szCs w:val="32"/>
        </w:rPr>
      </w:pPr>
      <w:r>
        <w:rPr>
          <w:rFonts w:hint="eastAsia" w:ascii="楷体_GB2312" w:hAnsi="仿宋" w:eastAsia="楷体_GB2312"/>
          <w:szCs w:val="32"/>
        </w:rPr>
        <w:t>（一）规范合同管理。</w:t>
      </w:r>
      <w:r>
        <w:rPr>
          <w:rFonts w:hint="eastAsia" w:ascii="仿宋_GB2312" w:hAnsi="仿宋"/>
          <w:szCs w:val="32"/>
        </w:rPr>
        <w:t>市财政部门与中原农业保险公司签订保险协议，明确双方责任和义务。建立以保障水平和参保人员满意度为核心的考核办法。</w:t>
      </w:r>
    </w:p>
    <w:p>
      <w:pPr>
        <w:spacing w:line="560" w:lineRule="exact"/>
        <w:ind w:firstLine="480" w:firstLineChars="150"/>
        <w:rPr>
          <w:rFonts w:ascii="仿宋_GB2312" w:hAnsi="仿宋"/>
          <w:szCs w:val="32"/>
        </w:rPr>
      </w:pPr>
      <w:r>
        <w:rPr>
          <w:rFonts w:hint="eastAsia" w:ascii="楷体_GB2312" w:hAnsi="仿宋" w:eastAsia="楷体_GB2312"/>
          <w:szCs w:val="32"/>
        </w:rPr>
        <w:t>（二）严格资金管理。</w:t>
      </w:r>
      <w:r>
        <w:rPr>
          <w:rFonts w:hint="eastAsia" w:ascii="仿宋_GB2312" w:hAnsi="仿宋"/>
          <w:szCs w:val="32"/>
        </w:rPr>
        <w:t>各县（市、区）财政部门设立医疗保险补充救助专户，专账核算，封闭运行，及时转交。</w:t>
      </w:r>
    </w:p>
    <w:p>
      <w:pPr>
        <w:spacing w:line="560" w:lineRule="exact"/>
        <w:ind w:firstLine="480" w:firstLineChars="150"/>
        <w:rPr>
          <w:rFonts w:ascii="仿宋_GB2312" w:hAnsi="仿宋"/>
          <w:szCs w:val="32"/>
        </w:rPr>
      </w:pPr>
      <w:r>
        <w:rPr>
          <w:rFonts w:hint="eastAsia" w:ascii="楷体_GB2312" w:hAnsi="仿宋" w:eastAsia="楷体_GB2312"/>
          <w:szCs w:val="32"/>
        </w:rPr>
        <w:t>（三）实行实时结报。</w:t>
      </w:r>
      <w:r>
        <w:rPr>
          <w:rFonts w:hint="eastAsia" w:ascii="仿宋_GB2312" w:hAnsi="仿宋"/>
          <w:szCs w:val="32"/>
        </w:rPr>
        <w:t>中原农业保险公司在各县（市、区）行政服务中心设立补偿窗口，受理符合条件的参保人员申报，并在</w:t>
      </w:r>
      <w:r>
        <w:rPr>
          <w:rFonts w:ascii="仿宋_GB2312" w:hAnsi="仿宋"/>
          <w:szCs w:val="32"/>
        </w:rPr>
        <w:t>15</w:t>
      </w:r>
      <w:r>
        <w:rPr>
          <w:rFonts w:hint="eastAsia" w:ascii="仿宋_GB2312" w:hAnsi="仿宋"/>
          <w:szCs w:val="32"/>
        </w:rPr>
        <w:t>个工作日内完成办理结算。</w:t>
      </w:r>
    </w:p>
    <w:p>
      <w:pPr>
        <w:spacing w:line="560" w:lineRule="exact"/>
        <w:ind w:firstLine="640" w:firstLineChars="200"/>
        <w:rPr>
          <w:rFonts w:ascii="黑体" w:hAnsi="黑体" w:eastAsia="黑体"/>
          <w:szCs w:val="32"/>
        </w:rPr>
      </w:pPr>
      <w:r>
        <w:rPr>
          <w:rFonts w:hint="eastAsia" w:ascii="黑体" w:hAnsi="黑体" w:eastAsia="黑体"/>
          <w:szCs w:val="32"/>
        </w:rPr>
        <w:t>七、保障措施</w:t>
      </w:r>
    </w:p>
    <w:p>
      <w:pPr>
        <w:spacing w:line="560" w:lineRule="exact"/>
        <w:ind w:firstLine="480" w:firstLineChars="150"/>
        <w:rPr>
          <w:rFonts w:ascii="仿宋_GB2312" w:hAnsi="仿宋"/>
          <w:szCs w:val="32"/>
        </w:rPr>
      </w:pPr>
      <w:r>
        <w:rPr>
          <w:rFonts w:hint="eastAsia" w:ascii="楷体_GB2312" w:hAnsi="仿宋" w:eastAsia="楷体_GB2312"/>
          <w:szCs w:val="32"/>
        </w:rPr>
        <w:t>（一）加强对中原农业保险公司的监管。</w:t>
      </w:r>
      <w:r>
        <w:rPr>
          <w:rFonts w:hint="eastAsia" w:ascii="仿宋_GB2312" w:hAnsi="仿宋"/>
          <w:szCs w:val="32"/>
        </w:rPr>
        <w:t>各级、各有关部门要各负其责、协同配合，切实保障参保人权益。各有关部门要通过日常抽查、受理投诉等多方式进行监督检查，督促中原农业保险公司按合同要求提高服务质量和水平，严格维护参保人信息安全，防止信息外泄和滥用，并对违法违约行为及时查处整改。</w:t>
      </w:r>
    </w:p>
    <w:p>
      <w:pPr>
        <w:spacing w:line="560" w:lineRule="exact"/>
        <w:ind w:firstLine="480" w:firstLineChars="150"/>
        <w:rPr>
          <w:rFonts w:ascii="仿宋_GB2312" w:hAnsi="仿宋"/>
          <w:szCs w:val="32"/>
        </w:rPr>
      </w:pPr>
      <w:r>
        <w:rPr>
          <w:rFonts w:hint="eastAsia" w:ascii="楷体_GB2312" w:hAnsi="仿宋" w:eastAsia="楷体_GB2312"/>
          <w:szCs w:val="32"/>
        </w:rPr>
        <w:t>（二）加强对医疗机构和医疗费用的监管。</w:t>
      </w:r>
      <w:r>
        <w:rPr>
          <w:rFonts w:hint="eastAsia" w:ascii="仿宋_GB2312" w:hAnsi="仿宋"/>
          <w:szCs w:val="32"/>
        </w:rPr>
        <w:t>要加强对定点医疗机构的监督管理，积极推进按病种付费、总额预付等支付方式改革，建立健全分级诊疗、双向转诊机制，规范医疗服务行为，确保医疗服务质量，严格控制县外转诊和医疗费用不合理增长。中原农业保险公司要充分发挥医疗保险机制的作用，与有关部门密切配合，加强对医疗机构服务行为和医疗费用的监管。</w:t>
      </w:r>
    </w:p>
    <w:p>
      <w:pPr>
        <w:spacing w:line="560" w:lineRule="exact"/>
        <w:ind w:firstLine="480" w:firstLineChars="150"/>
        <w:rPr>
          <w:rFonts w:ascii="仿宋_GB2312" w:hAnsi="仿宋"/>
          <w:szCs w:val="32"/>
        </w:rPr>
      </w:pPr>
      <w:r>
        <w:rPr>
          <w:rFonts w:hint="eastAsia" w:ascii="楷体_GB2312" w:hAnsi="仿宋" w:eastAsia="楷体_GB2312"/>
          <w:szCs w:val="32"/>
        </w:rPr>
        <w:t>（三）加强组织领导和宣传引导。</w:t>
      </w:r>
      <w:r>
        <w:rPr>
          <w:rFonts w:hint="eastAsia" w:ascii="仿宋_GB2312" w:hAnsi="仿宋"/>
          <w:szCs w:val="32"/>
        </w:rPr>
        <w:t>各级、各部门要高度重视、明确责任，积极开展宣传解读工作，增强群众参与意识，同时要及时研究解决发现的问题，确保贫困人口保险工作平稳顺利推进。</w:t>
      </w:r>
    </w:p>
    <w:p>
      <w:pPr>
        <w:spacing w:line="560" w:lineRule="exact"/>
        <w:ind w:firstLine="640" w:firstLineChars="200"/>
        <w:rPr>
          <w:rFonts w:ascii="仿宋_GB2312" w:hAnsi="仿宋"/>
          <w:szCs w:val="32"/>
        </w:rPr>
      </w:pPr>
      <w:r>
        <w:rPr>
          <w:rFonts w:hint="eastAsia" w:ascii="仿宋_GB2312" w:hAnsi="仿宋"/>
          <w:szCs w:val="32"/>
        </w:rPr>
        <w:t>本方案试行期间，根据国家有关政策、扶贫攻坚开展情况以及保险资金运行情况的变化予以实时调整。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仿宋简体">
    <w:altName w:val="黑体"/>
    <w:panose1 w:val="03000509000000000000"/>
    <w:charset w:val="86"/>
    <w:family w:val="script"/>
    <w:pitch w:val="default"/>
    <w:sig w:usb0="00000000" w:usb1="00000000" w:usb2="00000010" w:usb3="00000000" w:csb0="00040000" w:csb1="00000000"/>
  </w:font>
  <w:font w:name="方正黑体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638BC"/>
    <w:rsid w:val="184638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uiPriority w:val="0"/>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2017-08-29T09:39:00Z</dcterms:created>
  <dc:creator>Administrator</dc:creator>
  <cp:lastModifiedBy>Administrator</cp:lastModifiedBy>
  <dcterms:modified xsi:type="dcterms:W3CDTF">2017-08-29T09:39:32Z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