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jc w:val="center"/>
        <w:rPr>
          <w:rFonts w:ascii="仿宋_GB2312" w:hAnsi="仿宋_GB2312" w:eastAsia="仿宋_GB2312" w:cs="仿宋_GB2312"/>
          <w:sz w:val="44"/>
          <w:szCs w:val="44"/>
        </w:rPr>
      </w:pPr>
      <w:r>
        <w:rPr>
          <w:rFonts w:hint="eastAsia" w:ascii="隶书" w:hAnsi="隶书" w:eastAsia="隶书" w:cs="隶书"/>
          <w:sz w:val="52"/>
          <w:szCs w:val="52"/>
        </w:rPr>
        <w:t>平顶山市食品安全监督所</w:t>
      </w:r>
    </w:p>
    <w:p>
      <w:pPr>
        <w:jc w:val="center"/>
        <w:rPr>
          <w:rFonts w:ascii="黑体" w:hAnsi="黑体" w:eastAsia="黑体" w:cs="黑体"/>
          <w:sz w:val="52"/>
          <w:szCs w:val="52"/>
        </w:rPr>
      </w:pPr>
    </w:p>
    <w:p>
      <w:pPr>
        <w:jc w:val="center"/>
        <w:rPr>
          <w:rFonts w:ascii="隶书" w:hAnsi="隶书" w:eastAsia="隶书" w:cs="隶书"/>
          <w:sz w:val="52"/>
          <w:szCs w:val="52"/>
        </w:rPr>
        <w:sectPr>
          <w:headerReference r:id="rId5" w:type="first"/>
          <w:headerReference r:id="rId3" w:type="default"/>
          <w:footerReference r:id="rId6" w:type="default"/>
          <w:headerReference r:id="rId4" w:type="even"/>
          <w:pgSz w:w="11906" w:h="16838"/>
          <w:pgMar w:top="1440" w:right="1531" w:bottom="1440" w:left="1587" w:header="850" w:footer="992" w:gutter="0"/>
          <w:pgNumType w:fmt="numberInDash" w:start="1"/>
          <w:cols w:space="0" w:num="1"/>
          <w:docGrid w:type="lines" w:linePitch="317" w:charSpace="0"/>
        </w:sectPr>
      </w:pPr>
      <w:r>
        <w:rPr>
          <w:rFonts w:ascii="隶书" w:hAnsi="隶书" w:eastAsia="隶书" w:cs="隶书"/>
          <w:sz w:val="52"/>
          <w:szCs w:val="52"/>
        </w:rPr>
        <w:t>2016</w:t>
      </w:r>
      <w:r>
        <w:rPr>
          <w:rFonts w:hint="eastAsia" w:ascii="隶书" w:hAnsi="隶书" w:eastAsia="隶书" w:cs="隶书"/>
          <w:sz w:val="52"/>
          <w:szCs w:val="52"/>
        </w:rPr>
        <w:t>年度部门决算</w:t>
      </w:r>
    </w:p>
    <w:p>
      <w:pPr>
        <w:jc w:val="center"/>
        <w:rPr>
          <w:rFonts w:ascii="宋体" w:hAnsi="宋体" w:cs="黑体"/>
          <w:sz w:val="32"/>
          <w:szCs w:val="32"/>
        </w:rPr>
      </w:pPr>
      <w:r>
        <w:rPr>
          <w:rFonts w:hint="eastAsia" w:ascii="宋体" w:hAnsi="宋体" w:cs="黑体"/>
          <w:sz w:val="32"/>
          <w:szCs w:val="32"/>
        </w:rPr>
        <w:t>目　　录</w:t>
      </w:r>
    </w:p>
    <w:p>
      <w:pPr>
        <w:jc w:val="left"/>
        <w:rPr>
          <w:rFonts w:hint="eastAsia" w:ascii="黑体" w:hAnsi="黑体" w:eastAsia="黑体" w:cs="黑体"/>
          <w:sz w:val="32"/>
          <w:szCs w:val="32"/>
        </w:rPr>
      </w:pPr>
      <w:r>
        <w:rPr>
          <w:rFonts w:hint="eastAsia" w:ascii="黑体" w:hAnsi="黑体" w:eastAsia="黑体" w:cs="黑体"/>
          <w:sz w:val="32"/>
          <w:szCs w:val="32"/>
        </w:rPr>
        <w:t>第一部分　平顶山市食品安全监督所概况</w:t>
      </w:r>
    </w:p>
    <w:p>
      <w:pPr>
        <w:numPr>
          <w:ilvl w:val="0"/>
          <w:numId w:val="1"/>
        </w:numPr>
        <w:jc w:val="left"/>
        <w:rPr>
          <w:rFonts w:ascii="宋体" w:hAnsi="宋体" w:cs="宋体"/>
          <w:sz w:val="32"/>
          <w:szCs w:val="32"/>
        </w:rPr>
      </w:pPr>
      <w:r>
        <w:rPr>
          <w:rFonts w:hint="eastAsia" w:ascii="宋体" w:hAnsi="宋体" w:cs="宋体"/>
          <w:sz w:val="32"/>
          <w:szCs w:val="32"/>
        </w:rPr>
        <w:t>主要职责</w:t>
      </w:r>
    </w:p>
    <w:p>
      <w:pPr>
        <w:numPr>
          <w:ilvl w:val="0"/>
          <w:numId w:val="1"/>
        </w:numPr>
        <w:jc w:val="left"/>
        <w:rPr>
          <w:rFonts w:ascii="宋体" w:hAnsi="宋体" w:cs="宋体"/>
          <w:sz w:val="32"/>
          <w:szCs w:val="32"/>
        </w:rPr>
      </w:pPr>
      <w:r>
        <w:rPr>
          <w:rFonts w:hint="eastAsia" w:ascii="宋体" w:hAnsi="宋体" w:cs="宋体"/>
          <w:sz w:val="32"/>
          <w:szCs w:val="32"/>
        </w:rPr>
        <w:t>部门决算单位构成</w:t>
      </w:r>
    </w:p>
    <w:p>
      <w:pPr>
        <w:jc w:val="left"/>
        <w:rPr>
          <w:rFonts w:hint="eastAsia" w:ascii="黑体" w:hAnsi="黑体" w:eastAsia="黑体" w:cs="黑体"/>
          <w:sz w:val="32"/>
          <w:szCs w:val="32"/>
        </w:rPr>
      </w:pPr>
      <w:r>
        <w:rPr>
          <w:rFonts w:hint="eastAsia" w:ascii="黑体" w:hAnsi="黑体" w:eastAsia="黑体" w:cs="黑体"/>
          <w:sz w:val="32"/>
          <w:szCs w:val="32"/>
        </w:rPr>
        <w:t>第二部分　平顶山市食品安全监督所2016年度部门决算表</w:t>
      </w:r>
    </w:p>
    <w:p>
      <w:pPr>
        <w:jc w:val="left"/>
        <w:rPr>
          <w:rFonts w:ascii="宋体" w:hAnsi="宋体" w:cs="宋体"/>
          <w:sz w:val="32"/>
          <w:szCs w:val="32"/>
        </w:rPr>
      </w:pPr>
      <w:r>
        <w:rPr>
          <w:rFonts w:hint="eastAsia" w:ascii="宋体" w:hAnsi="宋体" w:cs="宋体"/>
          <w:sz w:val="32"/>
          <w:szCs w:val="32"/>
        </w:rPr>
        <w:t>一、收入支出决算总表</w:t>
      </w:r>
    </w:p>
    <w:p>
      <w:pPr>
        <w:jc w:val="left"/>
        <w:rPr>
          <w:rFonts w:ascii="宋体" w:hAnsi="宋体" w:cs="宋体"/>
          <w:sz w:val="32"/>
          <w:szCs w:val="32"/>
        </w:rPr>
      </w:pPr>
      <w:r>
        <w:rPr>
          <w:rFonts w:hint="eastAsia" w:ascii="宋体" w:hAnsi="宋体" w:cs="宋体"/>
          <w:sz w:val="32"/>
          <w:szCs w:val="32"/>
        </w:rPr>
        <w:t>二、收入决算表</w:t>
      </w:r>
    </w:p>
    <w:p>
      <w:pPr>
        <w:jc w:val="left"/>
        <w:rPr>
          <w:rFonts w:ascii="宋体" w:hAnsi="宋体" w:cs="宋体"/>
          <w:sz w:val="32"/>
          <w:szCs w:val="32"/>
        </w:rPr>
      </w:pPr>
      <w:r>
        <w:rPr>
          <w:rFonts w:hint="eastAsia" w:ascii="宋体" w:hAnsi="宋体" w:cs="宋体"/>
          <w:sz w:val="32"/>
          <w:szCs w:val="32"/>
        </w:rPr>
        <w:t>三、支出决算表</w:t>
      </w:r>
    </w:p>
    <w:p>
      <w:pPr>
        <w:jc w:val="left"/>
        <w:rPr>
          <w:rFonts w:ascii="宋体" w:cs="宋体"/>
          <w:sz w:val="32"/>
          <w:szCs w:val="32"/>
        </w:rPr>
      </w:pPr>
      <w:r>
        <w:rPr>
          <w:rFonts w:hint="eastAsia" w:ascii="宋体" w:hAnsi="宋体" w:cs="宋体"/>
          <w:sz w:val="32"/>
          <w:szCs w:val="32"/>
        </w:rPr>
        <w:t>四、财政拨款收入支出决算总表</w:t>
      </w:r>
    </w:p>
    <w:p>
      <w:pPr>
        <w:jc w:val="left"/>
        <w:rPr>
          <w:rFonts w:ascii="宋体" w:cs="宋体"/>
          <w:sz w:val="32"/>
          <w:szCs w:val="32"/>
        </w:rPr>
      </w:pPr>
      <w:r>
        <w:rPr>
          <w:rFonts w:hint="eastAsia" w:ascii="宋体" w:hAnsi="宋体" w:cs="宋体"/>
          <w:sz w:val="32"/>
          <w:szCs w:val="32"/>
        </w:rPr>
        <w:t>五、一般公共预算财政拨款支出决算表</w:t>
      </w:r>
    </w:p>
    <w:p>
      <w:pPr>
        <w:jc w:val="left"/>
        <w:rPr>
          <w:rFonts w:ascii="宋体" w:cs="宋体"/>
          <w:sz w:val="32"/>
          <w:szCs w:val="32"/>
        </w:rPr>
      </w:pPr>
      <w:r>
        <w:rPr>
          <w:rFonts w:hint="eastAsia" w:ascii="宋体" w:hAnsi="宋体" w:cs="宋体"/>
          <w:sz w:val="32"/>
          <w:szCs w:val="32"/>
        </w:rPr>
        <w:t>六、一般公共预算财政拨款基本支出决算表</w:t>
      </w:r>
    </w:p>
    <w:p>
      <w:pPr>
        <w:jc w:val="left"/>
        <w:rPr>
          <w:rFonts w:ascii="宋体" w:cs="宋体"/>
          <w:sz w:val="32"/>
          <w:szCs w:val="32"/>
        </w:rPr>
      </w:pPr>
      <w:r>
        <w:rPr>
          <w:rFonts w:hint="eastAsia" w:ascii="宋体" w:hAnsi="宋体" w:cs="宋体"/>
          <w:sz w:val="32"/>
          <w:szCs w:val="32"/>
        </w:rPr>
        <w:t>七、一般公共预算财政拨款“三公”经费支出决算表</w:t>
      </w:r>
    </w:p>
    <w:p>
      <w:pPr>
        <w:jc w:val="left"/>
        <w:rPr>
          <w:rFonts w:asci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平顶山市食品安全监督所2016年度部门决算情况说明</w:t>
      </w:r>
    </w:p>
    <w:p>
      <w:pPr>
        <w:jc w:val="left"/>
        <w:rPr>
          <w:rFonts w:hint="eastAsia" w:ascii="黑体" w:hAnsi="黑体" w:eastAsia="黑体" w:cs="黑体"/>
          <w:sz w:val="32"/>
          <w:szCs w:val="32"/>
        </w:rPr>
        <w:sectPr>
          <w:footerReference r:id="rId7" w:type="default"/>
          <w:pgSz w:w="11906" w:h="16838"/>
          <w:pgMar w:top="1440" w:right="1531" w:bottom="1440" w:left="1587" w:header="850" w:footer="992" w:gutter="0"/>
          <w:pgNumType w:fmt="numberInDash"/>
          <w:cols w:space="0" w:num="1"/>
          <w:docGrid w:type="lines" w:linePitch="317" w:charSpace="0"/>
        </w:sectPr>
      </w:pPr>
      <w:r>
        <w:rPr>
          <w:rFonts w:hint="eastAsia" w:ascii="黑体" w:hAnsi="黑体" w:eastAsia="黑体" w:cs="黑体"/>
          <w:sz w:val="32"/>
          <w:szCs w:val="32"/>
        </w:rPr>
        <w:t>第四部分　　名词解释</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footerReference r:id="rId8" w:type="default"/>
          <w:pgSz w:w="11906" w:h="16838"/>
          <w:pgMar w:top="1440" w:right="1531" w:bottom="1440" w:left="1587" w:header="850" w:footer="992" w:gutter="0"/>
          <w:pgNumType w:fmt="numberInDash" w:start="3"/>
          <w:cols w:space="0" w:num="1"/>
          <w:docGrid w:type="lines" w:linePitch="317" w:charSpace="0"/>
        </w:sectPr>
      </w:pPr>
      <w:r>
        <w:rPr>
          <w:rFonts w:hint="eastAsia" w:ascii="隶书" w:hAnsi="隶书" w:eastAsia="隶书" w:cs="隶书"/>
          <w:sz w:val="48"/>
          <w:szCs w:val="48"/>
        </w:rPr>
        <w:t>第一部分　平顶山市食品安全监督所概况</w:t>
      </w:r>
    </w:p>
    <w:p>
      <w:pPr>
        <w:numPr>
          <w:ilvl w:val="0"/>
          <w:numId w:val="2"/>
        </w:numPr>
        <w:spacing w:line="360" w:lineRule="auto"/>
        <w:ind w:firstLine="640" w:firstLineChars="200"/>
        <w:jc w:val="left"/>
        <w:outlineLvl w:val="1"/>
        <w:rPr>
          <w:rFonts w:hint="eastAsia" w:ascii="黑体" w:hAnsi="黑体" w:eastAsia="黑体" w:cs="黑体"/>
          <w:sz w:val="32"/>
          <w:szCs w:val="32"/>
        </w:rPr>
      </w:pPr>
      <w:r>
        <w:rPr>
          <w:rFonts w:hint="eastAsia" w:ascii="黑体" w:hAnsi="黑体" w:eastAsia="黑体" w:cs="黑体"/>
          <w:sz w:val="32"/>
          <w:szCs w:val="32"/>
        </w:rPr>
        <w:t>主要职责</w:t>
      </w:r>
    </w:p>
    <w:p>
      <w:pPr>
        <w:ind w:left="420"/>
        <w:rPr>
          <w:rFonts w:ascii="仿宋_GB2312" w:hAnsi="宋体" w:eastAsia="仿宋_GB2312" w:cs="宋体"/>
          <w:sz w:val="32"/>
          <w:szCs w:val="32"/>
        </w:rPr>
      </w:pPr>
      <w:r>
        <w:rPr>
          <w:rFonts w:hint="eastAsia" w:ascii="黑体" w:hAnsi="黑体" w:eastAsia="黑体" w:cs="黑体"/>
          <w:sz w:val="32"/>
          <w:szCs w:val="32"/>
        </w:rPr>
        <w:t>（一）机构设置及职能</w:t>
      </w:r>
    </w:p>
    <w:p>
      <w:pPr>
        <w:ind w:left="142" w:firstLine="640" w:firstLineChars="200"/>
        <w:rPr>
          <w:rFonts w:ascii="仿宋_GB2312" w:hAnsi="宋体" w:eastAsia="仿宋_GB2312" w:cs="宋体"/>
          <w:sz w:val="32"/>
          <w:szCs w:val="32"/>
        </w:rPr>
      </w:pPr>
      <w:r>
        <w:rPr>
          <w:rFonts w:hint="eastAsia" w:ascii="仿宋_GB2312" w:hAnsi="宋体" w:eastAsia="仿宋_GB2312" w:cs="宋体"/>
          <w:sz w:val="32"/>
          <w:szCs w:val="32"/>
        </w:rPr>
        <w:t>市食品安全监督所内设职能科室6个。其主要职责是：贯彻执行国家食品(含食品添加剂、保健食品)安全、化妆品监督管理法律、法规。组织开展食品安全知识宣传、教育培训。督导各县(市、区)食品安全监督管理工作及各项食品安全事务。</w:t>
      </w:r>
    </w:p>
    <w:p>
      <w:pPr>
        <w:ind w:left="420"/>
        <w:rPr>
          <w:rFonts w:hint="eastAsia" w:ascii="黑体" w:hAnsi="黑体" w:eastAsia="黑体" w:cs="黑体"/>
          <w:sz w:val="32"/>
          <w:szCs w:val="32"/>
        </w:rPr>
      </w:pPr>
      <w:r>
        <w:rPr>
          <w:rFonts w:hint="eastAsia" w:ascii="黑体" w:hAnsi="黑体" w:eastAsia="黑体" w:cs="黑体"/>
          <w:sz w:val="32"/>
          <w:szCs w:val="32"/>
        </w:rPr>
        <w:t>（二）人员构成情况</w:t>
      </w:r>
    </w:p>
    <w:p>
      <w:pPr>
        <w:ind w:left="141" w:leftChars="67" w:firstLine="640" w:firstLineChars="200"/>
        <w:rPr>
          <w:rFonts w:ascii="仿宋_GB2312" w:eastAsia="仿宋_GB2312"/>
          <w:sz w:val="32"/>
          <w:szCs w:val="32"/>
        </w:rPr>
      </w:pPr>
      <w:r>
        <w:rPr>
          <w:rFonts w:hint="eastAsia" w:ascii="仿宋_GB2312" w:eastAsia="仿宋_GB2312"/>
          <w:sz w:val="32"/>
          <w:szCs w:val="32"/>
        </w:rPr>
        <w:t>市食品安全监督所编制20名，在职人员10名。</w:t>
      </w:r>
    </w:p>
    <w:p>
      <w:pPr>
        <w:ind w:firstLine="480" w:firstLineChars="150"/>
        <w:rPr>
          <w:rFonts w:ascii="仿宋_GB2312" w:eastAsia="仿宋_GB2312"/>
          <w:sz w:val="32"/>
          <w:szCs w:val="32"/>
        </w:rPr>
      </w:pPr>
      <w:r>
        <w:rPr>
          <w:rFonts w:hint="eastAsia" w:ascii="黑体" w:hAnsi="黑体" w:eastAsia="黑体" w:cs="黑体"/>
          <w:sz w:val="32"/>
          <w:szCs w:val="32"/>
        </w:rPr>
        <w:t>（三）2016年度的主要工作任务</w:t>
      </w:r>
    </w:p>
    <w:p>
      <w:pPr>
        <w:ind w:firstLine="800" w:firstLineChars="250"/>
        <w:rPr>
          <w:rFonts w:ascii="仿宋_GB2312" w:eastAsia="仿宋_GB2312"/>
          <w:sz w:val="32"/>
          <w:szCs w:val="32"/>
        </w:rPr>
      </w:pPr>
      <w:r>
        <w:rPr>
          <w:rFonts w:hint="eastAsia" w:ascii="仿宋_GB2312" w:eastAsia="仿宋_GB2312"/>
          <w:sz w:val="32"/>
          <w:szCs w:val="32"/>
        </w:rPr>
        <w:t>具体执行食品安全日常检查、稽查工作，食品从业人员培训工作。</w:t>
      </w:r>
    </w:p>
    <w:p>
      <w:pPr>
        <w:numPr>
          <w:ilvl w:val="0"/>
          <w:numId w:val="3"/>
        </w:numPr>
        <w:spacing w:line="360" w:lineRule="auto"/>
        <w:jc w:val="left"/>
        <w:rPr>
          <w:rFonts w:ascii="仿宋_GB2312" w:hAnsi="楷体_GB2312" w:eastAsia="仿宋_GB2312" w:cs="楷体_GB2312"/>
          <w:sz w:val="32"/>
          <w:szCs w:val="32"/>
        </w:rPr>
      </w:pPr>
      <w:bookmarkStart w:id="0" w:name="_GoBack"/>
      <w:r>
        <w:rPr>
          <w:rFonts w:hint="eastAsia" w:ascii="黑体" w:hAnsi="黑体" w:eastAsia="黑体" w:cs="黑体"/>
          <w:sz w:val="32"/>
          <w:szCs w:val="32"/>
        </w:rPr>
        <w:t>部门决算单位构成</w:t>
      </w:r>
      <w:bookmarkEnd w:id="0"/>
    </w:p>
    <w:p>
      <w:pPr>
        <w:spacing w:line="360" w:lineRule="auto"/>
        <w:ind w:left="210" w:leftChars="1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纳入2016年度部门决算编制范围的单位为平顶山市食品安全监督所。</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r>
        <w:rPr>
          <w:rFonts w:hint="eastAsia" w:ascii="黑体" w:hAnsi="黑体" w:eastAsia="黑体" w:cs="黑体"/>
          <w:sz w:val="32"/>
          <w:szCs w:val="32"/>
        </w:rPr>
        <w:t>.</w:t>
      </w: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第二部分</w:t>
      </w:r>
    </w:p>
    <w:p>
      <w:pPr>
        <w:jc w:val="center"/>
        <w:rPr>
          <w:rFonts w:ascii="隶书" w:hAnsi="隶书" w:eastAsia="隶书" w:cs="隶书"/>
          <w:sz w:val="48"/>
          <w:szCs w:val="48"/>
        </w:rPr>
      </w:pPr>
      <w:r>
        <w:rPr>
          <w:rFonts w:hint="eastAsia" w:ascii="隶书" w:hAnsi="隶书" w:eastAsia="隶书" w:cs="隶书"/>
          <w:sz w:val="48"/>
          <w:szCs w:val="48"/>
        </w:rPr>
        <w:t>平顶山市食品安全监督所</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ascii="隶书" w:hAnsi="隶书" w:eastAsia="隶书" w:cs="隶书"/>
          <w:sz w:val="48"/>
          <w:szCs w:val="48"/>
        </w:rPr>
        <w:t>2016</w:t>
      </w:r>
      <w:r>
        <w:rPr>
          <w:rFonts w:hint="eastAsia" w:ascii="隶书" w:hAnsi="隶书" w:eastAsia="隶书" w:cs="隶书"/>
          <w:sz w:val="48"/>
          <w:szCs w:val="48"/>
        </w:rPr>
        <w:t>年度部门决算表</w:t>
      </w:r>
    </w:p>
    <w:tbl>
      <w:tblPr>
        <w:tblStyle w:val="5"/>
        <w:tblW w:w="10350" w:type="dxa"/>
        <w:tblInd w:w="-1040" w:type="dxa"/>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Layout w:type="fixed"/>
          <w:tblCellMar>
            <w:top w:w="15" w:type="dxa"/>
            <w:left w:w="15" w:type="dxa"/>
            <w:bottom w:w="15" w:type="dxa"/>
            <w:right w:w="15" w:type="dxa"/>
          </w:tblCellMar>
        </w:tblPrEx>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Layout w:type="fixed"/>
          <w:tblCellMar>
            <w:top w:w="15" w:type="dxa"/>
            <w:left w:w="15" w:type="dxa"/>
            <w:bottom w:w="15" w:type="dxa"/>
            <w:right w:w="15" w:type="dxa"/>
          </w:tblCellMar>
        </w:tblPrEx>
        <w:trPr>
          <w:trHeight w:val="315" w:hRule="atLeast"/>
        </w:trPr>
        <w:tc>
          <w:tcPr>
            <w:tcW w:w="3282" w:type="dxa"/>
            <w:gridSpan w:val="3"/>
            <w:vAlign w:val="center"/>
          </w:tcPr>
          <w:p>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01</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315" w:hRule="atLeast"/>
        </w:trPr>
        <w:tc>
          <w:tcPr>
            <w:tcW w:w="3282" w:type="dxa"/>
            <w:gridSpan w:val="3"/>
            <w:vAlign w:val="center"/>
          </w:tcPr>
          <w:p>
            <w:pPr>
              <w:rPr>
                <w:rFonts w:ascii="宋体" w:cs="宋体"/>
                <w:color w:val="000000"/>
                <w:sz w:val="16"/>
                <w:szCs w:val="16"/>
              </w:rPr>
            </w:pP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92.8</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2.2</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1.5</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88.7</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2.5</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2.2</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sz w:val="24"/>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95.0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94.9</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15.8</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15.9</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sz w:val="24"/>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hAnsi="宋体" w:cs="宋体"/>
                <w:sz w:val="24"/>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110.8</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cs="宋体"/>
                <w:sz w:val="24"/>
              </w:rPr>
            </w:pPr>
            <w:r>
              <w:rPr>
                <w:rFonts w:hint="eastAsia" w:ascii="宋体" w:hAnsi="宋体" w:cs="宋体"/>
                <w:color w:val="000000"/>
                <w:kern w:val="0"/>
                <w:sz w:val="22"/>
                <w:szCs w:val="22"/>
              </w:rPr>
              <w:t>110.8</w:t>
            </w:r>
          </w:p>
        </w:tc>
      </w:tr>
      <w:tr>
        <w:tblPrEx>
          <w:tblLayout w:type="fixed"/>
          <w:tblCellMar>
            <w:top w:w="15" w:type="dxa"/>
            <w:left w:w="15" w:type="dxa"/>
            <w:bottom w:w="15" w:type="dxa"/>
            <w:right w:w="15" w:type="dxa"/>
          </w:tblCellMar>
        </w:tblPrEx>
        <w:trPr>
          <w:trHeight w:val="555" w:hRule="atLeast"/>
        </w:trPr>
        <w:tc>
          <w:tcPr>
            <w:tcW w:w="10350" w:type="dxa"/>
            <w:gridSpan w:val="10"/>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注：本表反映部门本年度的总收支和年末结转结余情况。</w:t>
            </w:r>
          </w:p>
        </w:tc>
      </w:tr>
    </w:tbl>
    <w:p>
      <w:pPr>
        <w:spacing w:line="360" w:lineRule="auto"/>
        <w:rPr>
          <w:rFonts w:ascii="隶书" w:hAnsi="隶书" w:eastAsia="隶书" w:cs="隶书"/>
          <w:sz w:val="52"/>
          <w:szCs w:val="52"/>
        </w:rPr>
        <w:sectPr>
          <w:pgSz w:w="11906" w:h="16838"/>
          <w:pgMar w:top="1440" w:right="1800" w:bottom="1440" w:left="1800" w:header="851" w:footer="992" w:gutter="0"/>
          <w:pgNumType w:fmt="numberInDash"/>
          <w:cols w:space="425" w:num="1"/>
          <w:docGrid w:type="lines" w:linePitch="312" w:charSpace="0"/>
        </w:sectPr>
      </w:pPr>
    </w:p>
    <w:tbl>
      <w:tblPr>
        <w:tblStyle w:val="5"/>
        <w:tblW w:w="10337" w:type="dxa"/>
        <w:tblInd w:w="-827" w:type="dxa"/>
        <w:tblLayout w:type="fixed"/>
        <w:tblCellMar>
          <w:top w:w="15" w:type="dxa"/>
          <w:left w:w="15" w:type="dxa"/>
          <w:bottom w:w="15" w:type="dxa"/>
          <w:right w:w="15" w:type="dxa"/>
        </w:tblCellMar>
      </w:tblPr>
      <w:tblGrid>
        <w:gridCol w:w="888"/>
        <w:gridCol w:w="749"/>
        <w:gridCol w:w="1441"/>
        <w:gridCol w:w="1020"/>
        <w:gridCol w:w="479"/>
        <w:gridCol w:w="646"/>
        <w:gridCol w:w="314"/>
        <w:gridCol w:w="960"/>
        <w:gridCol w:w="960"/>
        <w:gridCol w:w="811"/>
        <w:gridCol w:w="149"/>
        <w:gridCol w:w="820"/>
        <w:gridCol w:w="140"/>
        <w:gridCol w:w="960"/>
      </w:tblGrid>
      <w:tr>
        <w:tblPrEx>
          <w:tblLayout w:type="fixed"/>
          <w:tblCellMar>
            <w:top w:w="15" w:type="dxa"/>
            <w:left w:w="15" w:type="dxa"/>
            <w:bottom w:w="15" w:type="dxa"/>
            <w:right w:w="15" w:type="dxa"/>
          </w:tblCellMar>
        </w:tblPrEx>
        <w:trPr>
          <w:trHeight w:val="375" w:hRule="atLeast"/>
        </w:trPr>
        <w:tc>
          <w:tcPr>
            <w:tcW w:w="10337" w:type="dxa"/>
            <w:gridSpan w:val="14"/>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Layout w:type="fixed"/>
          <w:tblCellMar>
            <w:top w:w="15" w:type="dxa"/>
            <w:left w:w="15" w:type="dxa"/>
            <w:bottom w:w="15" w:type="dxa"/>
            <w:right w:w="15" w:type="dxa"/>
          </w:tblCellMar>
        </w:tblPrEx>
        <w:trPr>
          <w:trHeight w:val="285" w:hRule="atLeast"/>
        </w:trPr>
        <w:tc>
          <w:tcPr>
            <w:tcW w:w="1637" w:type="dxa"/>
            <w:gridSpan w:val="2"/>
            <w:vAlign w:val="center"/>
          </w:tcPr>
          <w:p>
            <w:pPr>
              <w:rPr>
                <w:rFonts w:ascii="宋体" w:cs="宋体"/>
                <w:color w:val="000000"/>
                <w:sz w:val="16"/>
                <w:szCs w:val="16"/>
              </w:rPr>
            </w:pPr>
          </w:p>
        </w:tc>
        <w:tc>
          <w:tcPr>
            <w:tcW w:w="1441" w:type="dxa"/>
            <w:vAlign w:val="center"/>
          </w:tcPr>
          <w:p>
            <w:pPr>
              <w:rPr>
                <w:rFonts w:ascii="宋体" w:cs="宋体"/>
                <w:color w:val="000000"/>
                <w:sz w:val="16"/>
                <w:szCs w:val="16"/>
              </w:rPr>
            </w:pPr>
          </w:p>
        </w:tc>
        <w:tc>
          <w:tcPr>
            <w:tcW w:w="1499"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02</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637" w:type="dxa"/>
            <w:gridSpan w:val="2"/>
            <w:vAlign w:val="center"/>
          </w:tcPr>
          <w:p>
            <w:pPr>
              <w:rPr>
                <w:rFonts w:ascii="宋体" w:cs="宋体"/>
                <w:color w:val="000000"/>
                <w:sz w:val="16"/>
                <w:szCs w:val="16"/>
              </w:rPr>
            </w:pPr>
          </w:p>
        </w:tc>
        <w:tc>
          <w:tcPr>
            <w:tcW w:w="1441" w:type="dxa"/>
            <w:vAlign w:val="center"/>
          </w:tcPr>
          <w:p>
            <w:pPr>
              <w:rPr>
                <w:rFonts w:ascii="宋体" w:cs="宋体"/>
                <w:color w:val="000000"/>
                <w:sz w:val="16"/>
                <w:szCs w:val="16"/>
              </w:rPr>
            </w:pPr>
          </w:p>
        </w:tc>
        <w:tc>
          <w:tcPr>
            <w:tcW w:w="1499"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78"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1020"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112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财政拨款收入</w:t>
            </w:r>
          </w:p>
        </w:tc>
        <w:tc>
          <w:tcPr>
            <w:tcW w:w="127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上级补助收入</w:t>
            </w:r>
          </w:p>
        </w:tc>
        <w:tc>
          <w:tcPr>
            <w:tcW w:w="960"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事业收入</w:t>
            </w:r>
          </w:p>
        </w:tc>
        <w:tc>
          <w:tcPr>
            <w:tcW w:w="811"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经营收入</w:t>
            </w:r>
          </w:p>
        </w:tc>
        <w:tc>
          <w:tcPr>
            <w:tcW w:w="969"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附属单位</w:t>
            </w:r>
            <w:r>
              <w:rPr>
                <w:rFonts w:ascii="宋体" w:cs="宋体"/>
                <w:b/>
                <w:color w:val="000000"/>
                <w:kern w:val="0"/>
                <w:sz w:val="16"/>
                <w:szCs w:val="16"/>
              </w:rPr>
              <w:br w:type="textWrapping"/>
            </w:r>
            <w:r>
              <w:rPr>
                <w:rFonts w:hint="eastAsia" w:ascii="宋体" w:hAnsi="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其他收入</w:t>
            </w:r>
          </w:p>
        </w:tc>
      </w:tr>
      <w:tr>
        <w:tblPrEx>
          <w:tblLayout w:type="fixed"/>
          <w:tblCellMar>
            <w:top w:w="15" w:type="dxa"/>
            <w:left w:w="15" w:type="dxa"/>
            <w:bottom w:w="15" w:type="dxa"/>
            <w:right w:w="15" w:type="dxa"/>
          </w:tblCellMar>
        </w:tblPrEx>
        <w:trPr>
          <w:trHeight w:val="420" w:hRule="atLeast"/>
        </w:trPr>
        <w:tc>
          <w:tcPr>
            <w:tcW w:w="888"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020"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2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7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60"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11"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69"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3078"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tblPrEx>
          <w:tblLayout w:type="fixed"/>
          <w:tblCellMar>
            <w:top w:w="15" w:type="dxa"/>
            <w:left w:w="15" w:type="dxa"/>
            <w:bottom w:w="15" w:type="dxa"/>
            <w:right w:w="15" w:type="dxa"/>
          </w:tblCellMar>
        </w:tblPrEx>
        <w:trPr>
          <w:trHeight w:val="285" w:hRule="atLeast"/>
        </w:trPr>
        <w:tc>
          <w:tcPr>
            <w:tcW w:w="3078"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20"/>
                <w:szCs w:val="20"/>
              </w:rPr>
            </w:pPr>
            <w:r>
              <w:rPr>
                <w:rFonts w:hint="eastAsia" w:ascii="宋体" w:hAnsi="宋体" w:cs="宋体"/>
                <w:color w:val="000000"/>
                <w:kern w:val="0"/>
                <w:sz w:val="22"/>
                <w:szCs w:val="22"/>
              </w:rPr>
              <w:t>95.0</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20"/>
                <w:szCs w:val="20"/>
              </w:rPr>
            </w:pPr>
            <w:r>
              <w:rPr>
                <w:rFonts w:hint="eastAsia" w:ascii="宋体" w:hAnsi="宋体" w:cs="宋体"/>
                <w:color w:val="000000"/>
                <w:kern w:val="0"/>
                <w:sz w:val="22"/>
                <w:szCs w:val="22"/>
              </w:rPr>
              <w:t>92.8</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20"/>
                <w:szCs w:val="20"/>
              </w:rPr>
            </w:pPr>
            <w:r>
              <w:rPr>
                <w:rFonts w:hint="eastAsia" w:ascii="宋体" w:hAnsi="宋体" w:cs="宋体"/>
                <w:color w:val="000000"/>
                <w:kern w:val="0"/>
                <w:sz w:val="22"/>
                <w:szCs w:val="22"/>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20"/>
                <w:szCs w:val="20"/>
              </w:rPr>
            </w:pPr>
            <w:r>
              <w:rPr>
                <w:rFonts w:hint="eastAsia" w:ascii="宋体" w:hAnsi="宋体" w:cs="宋体"/>
                <w:color w:val="000000"/>
                <w:kern w:val="0"/>
                <w:sz w:val="22"/>
                <w:szCs w:val="22"/>
              </w:rPr>
              <w:t>0.0</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20"/>
                <w:szCs w:val="20"/>
              </w:rPr>
            </w:pPr>
            <w:r>
              <w:rPr>
                <w:rFonts w:hint="eastAsia" w:ascii="宋体" w:hAnsi="宋体" w:cs="宋体"/>
                <w:color w:val="000000"/>
                <w:kern w:val="0"/>
                <w:sz w:val="22"/>
                <w:szCs w:val="22"/>
              </w:rPr>
              <w:t>0.0</w:t>
            </w: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20"/>
                <w:szCs w:val="20"/>
              </w:rPr>
            </w:pPr>
            <w:r>
              <w:rPr>
                <w:rFonts w:hint="eastAsia" w:ascii="宋体" w:hAnsi="宋体" w:cs="宋体"/>
                <w:color w:val="000000"/>
                <w:kern w:val="0"/>
                <w:sz w:val="22"/>
                <w:szCs w:val="22"/>
              </w:rPr>
              <w:t>0.0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20"/>
                <w:szCs w:val="20"/>
              </w:rPr>
            </w:pPr>
            <w:r>
              <w:rPr>
                <w:rFonts w:hint="eastAsia" w:ascii="宋体" w:hAnsi="宋体" w:cs="宋体"/>
                <w:color w:val="000000"/>
                <w:kern w:val="0"/>
                <w:sz w:val="22"/>
                <w:szCs w:val="22"/>
              </w:rPr>
              <w:t>2.2</w:t>
            </w:r>
          </w:p>
        </w:tc>
      </w:tr>
      <w:tr>
        <w:tblPrEx>
          <w:tblLayout w:type="fixed"/>
          <w:tblCellMar>
            <w:top w:w="15" w:type="dxa"/>
            <w:left w:w="15" w:type="dxa"/>
            <w:bottom w:w="15" w:type="dxa"/>
            <w:right w:w="15" w:type="dxa"/>
          </w:tblCellMar>
        </w:tblPrEx>
        <w:trPr>
          <w:trHeight w:val="285" w:hRule="atLeast"/>
        </w:trPr>
        <w:tc>
          <w:tcPr>
            <w:tcW w:w="888"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社会保障和就业支出</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1.6</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1.6</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kern w:val="0"/>
                <w:sz w:val="22"/>
                <w:szCs w:val="22"/>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kern w:val="0"/>
                <w:sz w:val="22"/>
                <w:szCs w:val="22"/>
              </w:rPr>
              <w:t>0.0</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kern w:val="0"/>
                <w:sz w:val="22"/>
                <w:szCs w:val="22"/>
              </w:rPr>
              <w:t>0.0</w:t>
            </w: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kern w:val="0"/>
                <w:sz w:val="22"/>
                <w:szCs w:val="22"/>
              </w:rPr>
              <w:t>0.0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888"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20803</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财政对社会保险基金的补助</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1.6</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1.6</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888"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2080302</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财政对失业保险基金的补助</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0.3</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0.3</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888"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2080399</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财政对其他社会保险基金的补助</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1.3</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1.3</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888"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医疗卫生与计划生育支出</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88.7</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88.7</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888"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21002</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公立医院</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8.5</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8.5</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420" w:hRule="atLeast"/>
        </w:trPr>
        <w:tc>
          <w:tcPr>
            <w:tcW w:w="888"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2100204</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职业病防治医院</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8.5</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8.5</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420" w:hRule="atLeast"/>
        </w:trPr>
        <w:tc>
          <w:tcPr>
            <w:tcW w:w="888"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21004</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公共卫生</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46.5</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46.5</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420" w:hRule="atLeast"/>
        </w:trPr>
        <w:tc>
          <w:tcPr>
            <w:tcW w:w="888"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2100401</w:t>
            </w:r>
          </w:p>
        </w:tc>
        <w:tc>
          <w:tcPr>
            <w:tcW w:w="21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疾病预防控制机构</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1.0</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1.0</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420" w:hRule="atLeast"/>
        </w:trPr>
        <w:tc>
          <w:tcPr>
            <w:tcW w:w="888" w:type="dxa"/>
            <w:tcBorders>
              <w:top w:val="single" w:color="000000" w:sz="4" w:space="0"/>
              <w:left w:val="single" w:color="000000" w:sz="12" w:space="0"/>
              <w:bottom w:val="single" w:color="auto"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2100402</w:t>
            </w:r>
          </w:p>
        </w:tc>
        <w:tc>
          <w:tcPr>
            <w:tcW w:w="2190" w:type="dxa"/>
            <w:gridSpan w:val="2"/>
            <w:tcBorders>
              <w:top w:val="single" w:color="000000" w:sz="4" w:space="0"/>
              <w:left w:val="single" w:color="000000" w:sz="4" w:space="0"/>
              <w:bottom w:val="single" w:color="auto"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卫生监督机构</w:t>
            </w:r>
          </w:p>
        </w:tc>
        <w:tc>
          <w:tcPr>
            <w:tcW w:w="1020" w:type="dxa"/>
            <w:tcBorders>
              <w:top w:val="single" w:color="000000" w:sz="4" w:space="0"/>
              <w:left w:val="single" w:color="000000" w:sz="4" w:space="0"/>
              <w:bottom w:val="single" w:color="auto"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45.5</w:t>
            </w:r>
          </w:p>
        </w:tc>
        <w:tc>
          <w:tcPr>
            <w:tcW w:w="1125" w:type="dxa"/>
            <w:gridSpan w:val="2"/>
            <w:tcBorders>
              <w:top w:val="single" w:color="000000" w:sz="4" w:space="0"/>
              <w:left w:val="single" w:color="000000" w:sz="4" w:space="0"/>
              <w:bottom w:val="single" w:color="auto"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45.5</w:t>
            </w:r>
          </w:p>
        </w:tc>
        <w:tc>
          <w:tcPr>
            <w:tcW w:w="1274" w:type="dxa"/>
            <w:gridSpan w:val="2"/>
            <w:tcBorders>
              <w:top w:val="single" w:color="000000" w:sz="4" w:space="0"/>
              <w:left w:val="single" w:color="000000" w:sz="4" w:space="0"/>
              <w:bottom w:val="single" w:color="auto"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000000" w:sz="4" w:space="0"/>
              <w:left w:val="single" w:color="000000" w:sz="4" w:space="0"/>
              <w:bottom w:val="single" w:color="auto"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000000" w:sz="4" w:space="0"/>
              <w:left w:val="single" w:color="000000" w:sz="4" w:space="0"/>
              <w:bottom w:val="single" w:color="auto"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000000" w:sz="4" w:space="0"/>
              <w:left w:val="single" w:color="000000" w:sz="4" w:space="0"/>
              <w:bottom w:val="single" w:color="auto"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000000" w:sz="4" w:space="0"/>
              <w:left w:val="single" w:color="000000" w:sz="4" w:space="0"/>
              <w:bottom w:val="single" w:color="auto"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43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21005</w:t>
            </w:r>
          </w:p>
        </w:tc>
        <w:tc>
          <w:tcPr>
            <w:tcW w:w="2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医疗保障</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1.4</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1.4</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43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2100502</w:t>
            </w:r>
          </w:p>
        </w:tc>
        <w:tc>
          <w:tcPr>
            <w:tcW w:w="2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 xml:space="preserve">  事业单位医疗</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1.4</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1.4</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43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21010</w:t>
            </w:r>
          </w:p>
        </w:tc>
        <w:tc>
          <w:tcPr>
            <w:tcW w:w="2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食品和药品监督管理事务</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32.4</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32.4</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43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2101001</w:t>
            </w:r>
          </w:p>
        </w:tc>
        <w:tc>
          <w:tcPr>
            <w:tcW w:w="2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 xml:space="preserve">  行政运行</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6.0</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6.0</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43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2101050</w:t>
            </w:r>
          </w:p>
        </w:tc>
        <w:tc>
          <w:tcPr>
            <w:tcW w:w="2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 xml:space="preserve">  事业运行</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26.4</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26.4</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43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221</w:t>
            </w:r>
          </w:p>
        </w:tc>
        <w:tc>
          <w:tcPr>
            <w:tcW w:w="2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住房保障支出</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43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22102</w:t>
            </w:r>
          </w:p>
        </w:tc>
        <w:tc>
          <w:tcPr>
            <w:tcW w:w="2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住房改革支出</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43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2210201</w:t>
            </w:r>
          </w:p>
        </w:tc>
        <w:tc>
          <w:tcPr>
            <w:tcW w:w="2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 xml:space="preserve">  住房公积金</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43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229</w:t>
            </w:r>
          </w:p>
        </w:tc>
        <w:tc>
          <w:tcPr>
            <w:tcW w:w="2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其他支出</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2.2</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24"/>
              </w:rPr>
            </w:pPr>
            <w:r>
              <w:rPr>
                <w:rFonts w:hint="eastAsia" w:ascii="宋体" w:hAnsi="宋体" w:cs="宋体"/>
                <w:color w:val="000000"/>
                <w:kern w:val="0"/>
                <w:sz w:val="22"/>
                <w:szCs w:val="22"/>
              </w:rPr>
              <w:t>2.2</w:t>
            </w:r>
          </w:p>
        </w:tc>
      </w:tr>
      <w:tr>
        <w:tblPrEx>
          <w:tblLayout w:type="fixed"/>
          <w:tblCellMar>
            <w:top w:w="15" w:type="dxa"/>
            <w:left w:w="15" w:type="dxa"/>
            <w:bottom w:w="15" w:type="dxa"/>
            <w:right w:w="15" w:type="dxa"/>
          </w:tblCellMar>
        </w:tblPrEx>
        <w:trPr>
          <w:trHeight w:val="43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22999</w:t>
            </w:r>
          </w:p>
        </w:tc>
        <w:tc>
          <w:tcPr>
            <w:tcW w:w="219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其他支出</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2.2</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24"/>
              </w:rPr>
            </w:pPr>
            <w:r>
              <w:rPr>
                <w:rFonts w:hint="eastAsia" w:ascii="宋体" w:hAnsi="宋体" w:cs="宋体"/>
                <w:color w:val="000000"/>
                <w:kern w:val="0"/>
                <w:sz w:val="22"/>
                <w:szCs w:val="22"/>
              </w:rPr>
              <w:t>2.2</w:t>
            </w:r>
          </w:p>
        </w:tc>
      </w:tr>
      <w:tr>
        <w:tblPrEx>
          <w:tblLayout w:type="fixed"/>
          <w:tblCellMar>
            <w:top w:w="15" w:type="dxa"/>
            <w:left w:w="15" w:type="dxa"/>
            <w:bottom w:w="15" w:type="dxa"/>
            <w:right w:w="15" w:type="dxa"/>
          </w:tblCellMar>
        </w:tblPrEx>
        <w:trPr>
          <w:trHeight w:val="43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hint="eastAsia" w:cs="Arial"/>
                <w:color w:val="000000"/>
                <w:sz w:val="22"/>
                <w:szCs w:val="22"/>
              </w:rPr>
              <w:t>2299901</w:t>
            </w:r>
          </w:p>
        </w:tc>
        <w:tc>
          <w:tcPr>
            <w:tcW w:w="2190" w:type="dxa"/>
            <w:gridSpan w:val="2"/>
            <w:tcBorders>
              <w:top w:val="single" w:color="auto" w:sz="4" w:space="0"/>
              <w:left w:val="single" w:color="auto" w:sz="4" w:space="0"/>
              <w:bottom w:val="single" w:color="auto" w:sz="4" w:space="0"/>
              <w:right w:val="single" w:color="auto" w:sz="4" w:space="0"/>
            </w:tcBorders>
            <w:vAlign w:val="center"/>
          </w:tcPr>
          <w:p>
            <w:pPr>
              <w:rPr>
                <w:rFonts w:cs="Arial"/>
                <w:color w:val="000000"/>
                <w:sz w:val="22"/>
                <w:szCs w:val="22"/>
              </w:rPr>
            </w:pPr>
            <w:r>
              <w:rPr>
                <w:rFonts w:hint="eastAsia" w:cs="Arial"/>
                <w:color w:val="000000"/>
                <w:sz w:val="22"/>
                <w:szCs w:val="22"/>
              </w:rPr>
              <w:t>其他支出</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2.2</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81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969"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24"/>
              </w:rPr>
            </w:pPr>
            <w:r>
              <w:rPr>
                <w:rFonts w:hint="eastAsia" w:ascii="宋体" w:hAnsi="宋体" w:cs="宋体"/>
                <w:color w:val="000000"/>
                <w:kern w:val="0"/>
                <w:sz w:val="22"/>
                <w:szCs w:val="22"/>
              </w:rPr>
              <w:t>2.2</w:t>
            </w:r>
          </w:p>
        </w:tc>
      </w:tr>
      <w:tr>
        <w:tblPrEx>
          <w:tblLayout w:type="fixed"/>
          <w:tblCellMar>
            <w:top w:w="15" w:type="dxa"/>
            <w:left w:w="15" w:type="dxa"/>
            <w:bottom w:w="15" w:type="dxa"/>
            <w:right w:w="15" w:type="dxa"/>
          </w:tblCellMar>
        </w:tblPrEx>
        <w:trPr>
          <w:trHeight w:val="285" w:hRule="atLeast"/>
        </w:trPr>
        <w:tc>
          <w:tcPr>
            <w:tcW w:w="10337" w:type="dxa"/>
            <w:gridSpan w:val="14"/>
            <w:tcBorders>
              <w:top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0" w:num="1"/>
          <w:docGrid w:type="lines" w:linePitch="317" w:charSpace="0"/>
        </w:sectPr>
      </w:pPr>
    </w:p>
    <w:tbl>
      <w:tblPr>
        <w:tblStyle w:val="5"/>
        <w:tblW w:w="10350" w:type="dxa"/>
        <w:tblInd w:w="-821" w:type="dxa"/>
        <w:tblLayout w:type="fixed"/>
        <w:tblCellMar>
          <w:top w:w="15" w:type="dxa"/>
          <w:left w:w="15" w:type="dxa"/>
          <w:bottom w:w="15" w:type="dxa"/>
          <w:right w:w="15" w:type="dxa"/>
        </w:tblCellMar>
      </w:tblPr>
      <w:tblGrid>
        <w:gridCol w:w="882"/>
        <w:gridCol w:w="600"/>
        <w:gridCol w:w="2025"/>
        <w:gridCol w:w="655"/>
        <w:gridCol w:w="545"/>
        <w:gridCol w:w="454"/>
        <w:gridCol w:w="761"/>
        <w:gridCol w:w="238"/>
        <w:gridCol w:w="999"/>
        <w:gridCol w:w="893"/>
        <w:gridCol w:w="106"/>
        <w:gridCol w:w="987"/>
        <w:gridCol w:w="1205"/>
      </w:tblGrid>
      <w:tr>
        <w:tblPrEx>
          <w:tblLayout w:type="fixed"/>
          <w:tblCellMar>
            <w:top w:w="15" w:type="dxa"/>
            <w:left w:w="15" w:type="dxa"/>
            <w:bottom w:w="15" w:type="dxa"/>
            <w:right w:w="15" w:type="dxa"/>
          </w:tblCellMar>
        </w:tblPrEx>
        <w:trPr>
          <w:trHeight w:val="375" w:hRule="atLeast"/>
        </w:trPr>
        <w:tc>
          <w:tcPr>
            <w:tcW w:w="10350" w:type="dxa"/>
            <w:gridSpan w:val="13"/>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cs="宋体"/>
                <w:color w:val="000000"/>
                <w:sz w:val="16"/>
                <w:szCs w:val="16"/>
              </w:rPr>
            </w:pPr>
          </w:p>
        </w:tc>
        <w:tc>
          <w:tcPr>
            <w:tcW w:w="2025" w:type="dxa"/>
            <w:vAlign w:val="center"/>
          </w:tcPr>
          <w:p>
            <w:pPr>
              <w:rPr>
                <w:rFonts w:ascii="宋体" w:cs="宋体"/>
                <w:color w:val="000000"/>
                <w:sz w:val="16"/>
                <w:szCs w:val="16"/>
              </w:rPr>
            </w:pPr>
          </w:p>
        </w:tc>
        <w:tc>
          <w:tcPr>
            <w:tcW w:w="655"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192"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03</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cs="宋体"/>
                <w:color w:val="000000"/>
                <w:sz w:val="16"/>
                <w:szCs w:val="16"/>
              </w:rPr>
            </w:pPr>
          </w:p>
        </w:tc>
        <w:tc>
          <w:tcPr>
            <w:tcW w:w="2025" w:type="dxa"/>
            <w:vAlign w:val="center"/>
          </w:tcPr>
          <w:p>
            <w:pPr>
              <w:rPr>
                <w:rFonts w:ascii="宋体" w:cs="宋体"/>
                <w:color w:val="000000"/>
                <w:sz w:val="16"/>
                <w:szCs w:val="16"/>
              </w:rPr>
            </w:pPr>
          </w:p>
        </w:tc>
        <w:tc>
          <w:tcPr>
            <w:tcW w:w="655"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192"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50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00"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121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37"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893"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上缴上级支出</w:t>
            </w:r>
          </w:p>
        </w:tc>
        <w:tc>
          <w:tcPr>
            <w:tcW w:w="1093"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对附属单位</w:t>
            </w:r>
            <w:r>
              <w:rPr>
                <w:rFonts w:ascii="宋体" w:cs="宋体"/>
                <w:b/>
                <w:color w:val="000000"/>
                <w:kern w:val="0"/>
                <w:sz w:val="16"/>
                <w:szCs w:val="16"/>
              </w:rPr>
              <w:br w:type="textWrapping"/>
            </w:r>
            <w:r>
              <w:rPr>
                <w:rFonts w:hint="eastAsia" w:ascii="宋体" w:hAnsi="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88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6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00"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1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37"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93"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3"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350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50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94.9</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39.5</w:t>
            </w:r>
          </w:p>
        </w:tc>
        <w:tc>
          <w:tcPr>
            <w:tcW w:w="1237"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55.4</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kern w:val="0"/>
                <w:sz w:val="22"/>
                <w:szCs w:val="22"/>
              </w:rPr>
              <w:t>0.0</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kern w:val="0"/>
                <w:sz w:val="22"/>
                <w:szCs w:val="22"/>
              </w:rPr>
              <w:t>0.0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w:t>
            </w:r>
          </w:p>
        </w:tc>
        <w:tc>
          <w:tcPr>
            <w:tcW w:w="262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社会保障和就业支出</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w:t>
            </w:r>
          </w:p>
        </w:tc>
        <w:tc>
          <w:tcPr>
            <w:tcW w:w="1237"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kern w:val="0"/>
                <w:sz w:val="22"/>
                <w:szCs w:val="22"/>
              </w:rPr>
              <w:t>0.0</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kern w:val="0"/>
                <w:sz w:val="22"/>
                <w:szCs w:val="22"/>
              </w:rPr>
              <w:t>0.0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20803</w:t>
            </w:r>
          </w:p>
        </w:tc>
        <w:tc>
          <w:tcPr>
            <w:tcW w:w="262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财政对社会保险基金的补助</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w:t>
            </w:r>
          </w:p>
        </w:tc>
        <w:tc>
          <w:tcPr>
            <w:tcW w:w="1237"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2080302</w:t>
            </w:r>
          </w:p>
        </w:tc>
        <w:tc>
          <w:tcPr>
            <w:tcW w:w="262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财政对失业保险基金的补助</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0.2</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0.2</w:t>
            </w:r>
          </w:p>
        </w:tc>
        <w:tc>
          <w:tcPr>
            <w:tcW w:w="1237"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2080399</w:t>
            </w:r>
          </w:p>
        </w:tc>
        <w:tc>
          <w:tcPr>
            <w:tcW w:w="262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财政对其他社会保险基金的补助</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1.3</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1.3</w:t>
            </w:r>
          </w:p>
        </w:tc>
        <w:tc>
          <w:tcPr>
            <w:tcW w:w="1237"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w:t>
            </w:r>
          </w:p>
        </w:tc>
        <w:tc>
          <w:tcPr>
            <w:tcW w:w="262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医疗卫生与计划生育支出</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88.7</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33.3</w:t>
            </w:r>
          </w:p>
        </w:tc>
        <w:tc>
          <w:tcPr>
            <w:tcW w:w="1237"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55.4</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21002</w:t>
            </w:r>
          </w:p>
        </w:tc>
        <w:tc>
          <w:tcPr>
            <w:tcW w:w="262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公立医院</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7.5</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7.5</w:t>
            </w:r>
          </w:p>
        </w:tc>
        <w:tc>
          <w:tcPr>
            <w:tcW w:w="1237"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2100204</w:t>
            </w:r>
          </w:p>
        </w:tc>
        <w:tc>
          <w:tcPr>
            <w:tcW w:w="262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职业病防治医院</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7.5</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7.5</w:t>
            </w:r>
          </w:p>
        </w:tc>
        <w:tc>
          <w:tcPr>
            <w:tcW w:w="1237"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21004</w:t>
            </w:r>
          </w:p>
        </w:tc>
        <w:tc>
          <w:tcPr>
            <w:tcW w:w="262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公共卫生</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40.7</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0.8</w:t>
            </w:r>
          </w:p>
        </w:tc>
        <w:tc>
          <w:tcPr>
            <w:tcW w:w="1237"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40.0</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2100401</w:t>
            </w:r>
          </w:p>
        </w:tc>
        <w:tc>
          <w:tcPr>
            <w:tcW w:w="262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疾病预防控制机构</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0.8</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0.8</w:t>
            </w:r>
          </w:p>
        </w:tc>
        <w:tc>
          <w:tcPr>
            <w:tcW w:w="1237"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2100402</w:t>
            </w:r>
          </w:p>
        </w:tc>
        <w:tc>
          <w:tcPr>
            <w:tcW w:w="262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卫生监督机构</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40.0</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237"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40.0</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21005</w:t>
            </w:r>
          </w:p>
        </w:tc>
        <w:tc>
          <w:tcPr>
            <w:tcW w:w="262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医疗保障</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1.3</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1.3</w:t>
            </w:r>
          </w:p>
        </w:tc>
        <w:tc>
          <w:tcPr>
            <w:tcW w:w="1237"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r>
              <w:rPr>
                <w:rFonts w:hint="eastAsia" w:ascii="宋体" w:hAnsi="宋体" w:cs="宋体"/>
                <w:color w:val="000000"/>
                <w:kern w:val="0"/>
                <w:sz w:val="22"/>
                <w:szCs w:val="22"/>
              </w:rPr>
              <w:t>0.0</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r>
              <w:rPr>
                <w:rFonts w:hint="eastAsia" w:ascii="宋体" w:hAnsi="宋体" w:cs="宋体"/>
                <w:color w:val="000000"/>
                <w:kern w:val="0"/>
                <w:sz w:val="22"/>
                <w:szCs w:val="22"/>
              </w:rPr>
              <w:t>0.0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2100502</w:t>
            </w:r>
          </w:p>
        </w:tc>
        <w:tc>
          <w:tcPr>
            <w:tcW w:w="262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事业单位医疗</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1.3</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1.3</w:t>
            </w:r>
          </w:p>
        </w:tc>
        <w:tc>
          <w:tcPr>
            <w:tcW w:w="1237"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r>
              <w:rPr>
                <w:rFonts w:hint="eastAsia" w:ascii="宋体" w:hAnsi="宋体" w:cs="宋体"/>
                <w:color w:val="000000"/>
                <w:kern w:val="0"/>
                <w:sz w:val="22"/>
                <w:szCs w:val="22"/>
              </w:rPr>
              <w:t>0.0</w:t>
            </w:r>
          </w:p>
        </w:tc>
        <w:tc>
          <w:tcPr>
            <w:tcW w:w="1093"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r>
              <w:rPr>
                <w:rFonts w:hint="eastAsia" w:ascii="宋体" w:hAnsi="宋体" w:cs="宋体"/>
                <w:color w:val="000000"/>
                <w:kern w:val="0"/>
                <w:sz w:val="22"/>
                <w:szCs w:val="22"/>
              </w:rPr>
              <w:t>0.0</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000000" w:sz="4" w:space="0"/>
              <w:left w:val="single" w:color="000000" w:sz="12" w:space="0"/>
              <w:bottom w:val="single" w:color="auto"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21010</w:t>
            </w:r>
          </w:p>
        </w:tc>
        <w:tc>
          <w:tcPr>
            <w:tcW w:w="2625" w:type="dxa"/>
            <w:gridSpan w:val="2"/>
            <w:tcBorders>
              <w:top w:val="single" w:color="000000" w:sz="4" w:space="0"/>
              <w:left w:val="single" w:color="000000" w:sz="4" w:space="0"/>
              <w:bottom w:val="single" w:color="auto"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食品和药品监督管理事务</w:t>
            </w:r>
          </w:p>
        </w:tc>
        <w:tc>
          <w:tcPr>
            <w:tcW w:w="1200" w:type="dxa"/>
            <w:gridSpan w:val="2"/>
            <w:tcBorders>
              <w:top w:val="single" w:color="000000" w:sz="4" w:space="0"/>
              <w:left w:val="single" w:color="000000" w:sz="4" w:space="0"/>
              <w:bottom w:val="single" w:color="auto"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39.2</w:t>
            </w:r>
          </w:p>
        </w:tc>
        <w:tc>
          <w:tcPr>
            <w:tcW w:w="1215" w:type="dxa"/>
            <w:gridSpan w:val="2"/>
            <w:tcBorders>
              <w:top w:val="single" w:color="000000" w:sz="4" w:space="0"/>
              <w:left w:val="single" w:color="000000" w:sz="4" w:space="0"/>
              <w:bottom w:val="single" w:color="auto"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23.7</w:t>
            </w:r>
          </w:p>
        </w:tc>
        <w:tc>
          <w:tcPr>
            <w:tcW w:w="1237" w:type="dxa"/>
            <w:gridSpan w:val="2"/>
            <w:tcBorders>
              <w:top w:val="single" w:color="000000" w:sz="4" w:space="0"/>
              <w:left w:val="single" w:color="000000" w:sz="4" w:space="0"/>
              <w:bottom w:val="single" w:color="auto"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15.4</w:t>
            </w:r>
          </w:p>
        </w:tc>
        <w:tc>
          <w:tcPr>
            <w:tcW w:w="893" w:type="dxa"/>
            <w:tcBorders>
              <w:top w:val="single" w:color="000000" w:sz="4" w:space="0"/>
              <w:left w:val="single" w:color="000000" w:sz="4" w:space="0"/>
              <w:bottom w:val="single" w:color="auto" w:sz="4" w:space="0"/>
              <w:right w:val="single" w:color="000000" w:sz="4" w:space="0"/>
            </w:tcBorders>
            <w:vAlign w:val="center"/>
          </w:tcPr>
          <w:p>
            <w:pPr>
              <w:widowControl/>
              <w:jc w:val="right"/>
              <w:textAlignment w:val="center"/>
              <w:rPr>
                <w:rFonts w:ascii="宋体" w:cs="宋体"/>
                <w:color w:val="000000"/>
                <w:kern w:val="0"/>
                <w:sz w:val="16"/>
                <w:szCs w:val="16"/>
              </w:rPr>
            </w:pPr>
            <w:r>
              <w:rPr>
                <w:rFonts w:hint="eastAsia" w:ascii="宋体" w:hAnsi="宋体" w:cs="宋体"/>
                <w:color w:val="000000"/>
                <w:kern w:val="0"/>
                <w:sz w:val="22"/>
                <w:szCs w:val="22"/>
              </w:rPr>
              <w:t>0.0</w:t>
            </w:r>
          </w:p>
        </w:tc>
        <w:tc>
          <w:tcPr>
            <w:tcW w:w="1093" w:type="dxa"/>
            <w:gridSpan w:val="2"/>
            <w:tcBorders>
              <w:top w:val="single" w:color="000000" w:sz="4" w:space="0"/>
              <w:left w:val="single" w:color="000000" w:sz="4" w:space="0"/>
              <w:bottom w:val="single" w:color="auto" w:sz="4" w:space="0"/>
              <w:right w:val="single" w:color="000000" w:sz="4" w:space="0"/>
            </w:tcBorders>
            <w:vAlign w:val="center"/>
          </w:tcPr>
          <w:p>
            <w:pPr>
              <w:widowControl/>
              <w:jc w:val="right"/>
              <w:textAlignment w:val="center"/>
              <w:rPr>
                <w:rFonts w:ascii="宋体" w:cs="宋体"/>
                <w:color w:val="000000"/>
                <w:kern w:val="0"/>
                <w:sz w:val="16"/>
                <w:szCs w:val="16"/>
              </w:rPr>
            </w:pPr>
            <w:r>
              <w:rPr>
                <w:rFonts w:hint="eastAsia" w:ascii="宋体" w:hAnsi="宋体" w:cs="宋体"/>
                <w:color w:val="000000"/>
                <w:kern w:val="0"/>
                <w:sz w:val="22"/>
                <w:szCs w:val="22"/>
              </w:rPr>
              <w:t>0.0</w:t>
            </w:r>
          </w:p>
        </w:tc>
        <w:tc>
          <w:tcPr>
            <w:tcW w:w="1205" w:type="dxa"/>
            <w:tcBorders>
              <w:top w:val="single" w:color="000000" w:sz="4" w:space="0"/>
              <w:left w:val="single" w:color="000000" w:sz="4" w:space="0"/>
              <w:bottom w:val="single" w:color="auto" w:sz="4" w:space="0"/>
              <w:right w:val="single" w:color="000000" w:sz="12" w:space="0"/>
            </w:tcBorders>
            <w:vAlign w:val="center"/>
          </w:tcPr>
          <w:p>
            <w:pPr>
              <w:widowControl/>
              <w:jc w:val="right"/>
              <w:textAlignment w:val="center"/>
              <w:rPr>
                <w:rFonts w:ascii="宋体" w:cs="宋体"/>
                <w:color w:val="000000"/>
                <w:kern w:val="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2101002</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 xml:space="preserve">  一般行政管理事务</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6.8</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237"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6.8</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2101016</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 xml:space="preserve">  食品安全事务</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8.6</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237"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8.6</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2101050</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 xml:space="preserve">  事业运行</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23.7</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23.7</w:t>
            </w:r>
          </w:p>
        </w:tc>
        <w:tc>
          <w:tcPr>
            <w:tcW w:w="1237"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221</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住房保障支出</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1237"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22102</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住房改革支出</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1237"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2210201</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 xml:space="preserve">  住房公积金</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1237"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229</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其他支出</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2.2</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2.2</w:t>
            </w:r>
          </w:p>
        </w:tc>
        <w:tc>
          <w:tcPr>
            <w:tcW w:w="1237"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22999</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其他支出</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2.2</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2.2</w:t>
            </w:r>
          </w:p>
        </w:tc>
        <w:tc>
          <w:tcPr>
            <w:tcW w:w="1237"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882"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2299901</w:t>
            </w:r>
          </w:p>
        </w:tc>
        <w:tc>
          <w:tcPr>
            <w:tcW w:w="262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 xml:space="preserve">  其他支出</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2.2</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2.2</w:t>
            </w:r>
          </w:p>
        </w:tc>
        <w:tc>
          <w:tcPr>
            <w:tcW w:w="1237"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93"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093" w:type="dxa"/>
            <w:gridSpan w:val="2"/>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c>
          <w:tcPr>
            <w:tcW w:w="12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60" w:hRule="atLeast"/>
        </w:trPr>
        <w:tc>
          <w:tcPr>
            <w:tcW w:w="10350" w:type="dxa"/>
            <w:gridSpan w:val="13"/>
            <w:tcBorders>
              <w:top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0" w:num="1"/>
          <w:docGrid w:type="lines" w:linePitch="318" w:charSpace="0"/>
        </w:sectPr>
      </w:pPr>
    </w:p>
    <w:tbl>
      <w:tblPr>
        <w:tblStyle w:val="5"/>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Layout w:type="fixed"/>
          <w:tblCellMar>
            <w:top w:w="15" w:type="dxa"/>
            <w:left w:w="15" w:type="dxa"/>
            <w:bottom w:w="15" w:type="dxa"/>
            <w:right w:w="15" w:type="dxa"/>
          </w:tblCellMar>
        </w:tblPrEx>
        <w:trPr>
          <w:trHeight w:val="169" w:hRule="atLeast"/>
        </w:trPr>
        <w:tc>
          <w:tcPr>
            <w:tcW w:w="10425" w:type="dxa"/>
            <w:gridSpan w:val="14"/>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107"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04</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90"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政府性基金预算财政拨款</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92.8</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88.7</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88.7</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92.8</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92.7</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92.7</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15.8</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15.9</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15.9</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15.8</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Arial" w:hAnsi="Arial" w:cs="Arial"/>
                <w:color w:val="000000"/>
                <w:sz w:val="20"/>
                <w:szCs w:val="20"/>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108.6</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108.6</w:t>
            </w:r>
          </w:p>
        </w:tc>
        <w:tc>
          <w:tcPr>
            <w:tcW w:w="130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108.6</w:t>
            </w: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b/>
                <w:color w:val="000000"/>
                <w:sz w:val="16"/>
                <w:szCs w:val="16"/>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495" w:hRule="atLeast"/>
        </w:trPr>
        <w:tc>
          <w:tcPr>
            <w:tcW w:w="10425"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注：本表反映部门本年度一般公共预算财政拨款和政府性基金预算财政拨款的总收支和年末结转结余情况。</w:t>
            </w:r>
          </w:p>
        </w:tc>
      </w:tr>
    </w:tbl>
    <w:p>
      <w:pPr>
        <w:spacing w:line="360" w:lineRule="auto"/>
        <w:jc w:val="center"/>
        <w:rPr>
          <w:rFonts w:ascii="隶书" w:hAnsi="隶书" w:eastAsia="隶书" w:cs="隶书"/>
          <w:sz w:val="52"/>
          <w:szCs w:val="52"/>
        </w:rPr>
      </w:pPr>
      <w:r>
        <w:rPr>
          <w:rFonts w:ascii="隶书" w:hAnsi="隶书" w:eastAsia="隶书" w:cs="隶书"/>
          <w:sz w:val="52"/>
          <w:szCs w:val="52"/>
        </w:rPr>
        <w:br w:type="page"/>
      </w:r>
    </w:p>
    <w:tbl>
      <w:tblPr>
        <w:tblStyle w:val="5"/>
        <w:tblW w:w="10374" w:type="dxa"/>
        <w:tblInd w:w="-836" w:type="dxa"/>
        <w:tblLayout w:type="fixed"/>
        <w:tblCellMar>
          <w:top w:w="15" w:type="dxa"/>
          <w:left w:w="15" w:type="dxa"/>
          <w:bottom w:w="15" w:type="dxa"/>
          <w:right w:w="15" w:type="dxa"/>
        </w:tblCellMar>
      </w:tblPr>
      <w:tblGrid>
        <w:gridCol w:w="1150"/>
        <w:gridCol w:w="675"/>
        <w:gridCol w:w="1800"/>
        <w:gridCol w:w="2249"/>
        <w:gridCol w:w="76"/>
        <w:gridCol w:w="1575"/>
        <w:gridCol w:w="598"/>
        <w:gridCol w:w="2251"/>
      </w:tblGrid>
      <w:tr>
        <w:tblPrEx>
          <w:tblLayout w:type="fixed"/>
          <w:tblCellMar>
            <w:top w:w="15" w:type="dxa"/>
            <w:left w:w="15" w:type="dxa"/>
            <w:bottom w:w="15" w:type="dxa"/>
            <w:right w:w="15" w:type="dxa"/>
          </w:tblCellMar>
        </w:tblPrEx>
        <w:trPr>
          <w:trHeight w:val="375" w:hRule="atLeast"/>
        </w:trPr>
        <w:tc>
          <w:tcPr>
            <w:tcW w:w="10374"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25"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05</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825"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25"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150"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3625"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25"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92.7</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37.3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55.4</w:t>
            </w:r>
          </w:p>
        </w:tc>
      </w:tr>
      <w:tr>
        <w:tblPrEx>
          <w:tblLayout w:type="fixed"/>
          <w:tblCellMar>
            <w:top w:w="15" w:type="dxa"/>
            <w:left w:w="15" w:type="dxa"/>
            <w:bottom w:w="15" w:type="dxa"/>
            <w:right w:w="15" w:type="dxa"/>
          </w:tblCellMar>
        </w:tblPrEx>
        <w:trPr>
          <w:trHeight w:val="300" w:hRule="atLeast"/>
        </w:trPr>
        <w:tc>
          <w:tcPr>
            <w:tcW w:w="115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社会保障和就业支出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15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财政对社会保险基金的补助</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15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2080302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财政对失业保险基金的补助</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15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2080399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财政对其他社会保险基金的补助</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15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医疗卫生与计划生育支出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88.7</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33.3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55.4</w:t>
            </w:r>
          </w:p>
        </w:tc>
      </w:tr>
      <w:tr>
        <w:tblPrEx>
          <w:tblLayout w:type="fixed"/>
          <w:tblCellMar>
            <w:top w:w="15" w:type="dxa"/>
            <w:left w:w="15" w:type="dxa"/>
            <w:bottom w:w="15" w:type="dxa"/>
            <w:right w:w="15" w:type="dxa"/>
          </w:tblCellMar>
        </w:tblPrEx>
        <w:trPr>
          <w:trHeight w:val="300" w:hRule="atLeast"/>
        </w:trPr>
        <w:tc>
          <w:tcPr>
            <w:tcW w:w="115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公立医院</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7.5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7.5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15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2100204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职业病防治医院</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7.5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7.5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15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公共卫生</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40.7</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40.0</w:t>
            </w:r>
          </w:p>
        </w:tc>
      </w:tr>
      <w:tr>
        <w:tblPrEx>
          <w:tblLayout w:type="fixed"/>
          <w:tblCellMar>
            <w:top w:w="15" w:type="dxa"/>
            <w:left w:w="15" w:type="dxa"/>
            <w:bottom w:w="15" w:type="dxa"/>
            <w:right w:w="15" w:type="dxa"/>
          </w:tblCellMar>
        </w:tblPrEx>
        <w:trPr>
          <w:trHeight w:val="300" w:hRule="atLeast"/>
        </w:trPr>
        <w:tc>
          <w:tcPr>
            <w:tcW w:w="115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2100401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疾病预防控制机构</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0.8</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15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2100402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卫生监督机构</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40.0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40.0</w:t>
            </w:r>
          </w:p>
        </w:tc>
      </w:tr>
      <w:tr>
        <w:tblPrEx>
          <w:tblLayout w:type="fixed"/>
          <w:tblCellMar>
            <w:top w:w="15" w:type="dxa"/>
            <w:left w:w="15" w:type="dxa"/>
            <w:bottom w:w="15" w:type="dxa"/>
            <w:right w:w="15" w:type="dxa"/>
          </w:tblCellMar>
        </w:tblPrEx>
        <w:trPr>
          <w:trHeight w:val="300" w:hRule="atLeast"/>
        </w:trPr>
        <w:tc>
          <w:tcPr>
            <w:tcW w:w="115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医疗保障</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15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2100502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事业单位医疗</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1.3</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15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21010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食品和药品监督管理事务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39.2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23.7</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15.4</w:t>
            </w:r>
          </w:p>
        </w:tc>
      </w:tr>
      <w:tr>
        <w:tblPrEx>
          <w:tblLayout w:type="fixed"/>
          <w:tblCellMar>
            <w:top w:w="15" w:type="dxa"/>
            <w:left w:w="15" w:type="dxa"/>
            <w:bottom w:w="15" w:type="dxa"/>
            <w:right w:w="15" w:type="dxa"/>
          </w:tblCellMar>
        </w:tblPrEx>
        <w:trPr>
          <w:trHeight w:val="300" w:hRule="atLeast"/>
        </w:trPr>
        <w:tc>
          <w:tcPr>
            <w:tcW w:w="1150"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2101002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一般行政管理事务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6.8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6.8</w:t>
            </w:r>
          </w:p>
        </w:tc>
      </w:tr>
      <w:tr>
        <w:tblPrEx>
          <w:tblLayout w:type="fixed"/>
          <w:tblCellMar>
            <w:top w:w="15" w:type="dxa"/>
            <w:left w:w="15" w:type="dxa"/>
            <w:bottom w:w="15" w:type="dxa"/>
            <w:right w:w="15" w:type="dxa"/>
          </w:tblCellMar>
        </w:tblPrEx>
        <w:trPr>
          <w:trHeight w:val="300" w:hRule="atLeast"/>
        </w:trPr>
        <w:tc>
          <w:tcPr>
            <w:tcW w:w="1150" w:type="dxa"/>
            <w:tcBorders>
              <w:top w:val="single" w:color="000000" w:sz="4" w:space="0"/>
              <w:left w:val="single" w:color="000000" w:sz="12" w:space="0"/>
              <w:bottom w:val="single" w:color="auto"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2101016</w:t>
            </w:r>
          </w:p>
        </w:tc>
        <w:tc>
          <w:tcPr>
            <w:tcW w:w="2475" w:type="dxa"/>
            <w:gridSpan w:val="2"/>
            <w:tcBorders>
              <w:top w:val="single" w:color="000000" w:sz="4" w:space="0"/>
              <w:left w:val="single" w:color="000000" w:sz="4" w:space="0"/>
              <w:bottom w:val="single" w:color="auto" w:sz="4" w:space="0"/>
              <w:right w:val="single" w:color="000000" w:sz="4" w:space="0"/>
            </w:tcBorders>
            <w:vAlign w:val="center"/>
          </w:tcPr>
          <w:p>
            <w:pPr>
              <w:rPr>
                <w:rFonts w:ascii="宋体" w:hAnsi="宋体" w:cs="Arial"/>
                <w:color w:val="000000"/>
                <w:sz w:val="22"/>
                <w:szCs w:val="22"/>
              </w:rPr>
            </w:pPr>
            <w:r>
              <w:rPr>
                <w:rFonts w:hint="eastAsia" w:cs="Arial"/>
                <w:color w:val="000000"/>
                <w:sz w:val="22"/>
                <w:szCs w:val="22"/>
              </w:rPr>
              <w:t xml:space="preserve">  食品安全事务</w:t>
            </w:r>
          </w:p>
        </w:tc>
        <w:tc>
          <w:tcPr>
            <w:tcW w:w="2249" w:type="dxa"/>
            <w:tcBorders>
              <w:top w:val="single" w:color="000000" w:sz="4" w:space="0"/>
              <w:left w:val="single" w:color="000000" w:sz="4" w:space="0"/>
              <w:bottom w:val="single" w:color="auto"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8.6</w:t>
            </w:r>
          </w:p>
        </w:tc>
        <w:tc>
          <w:tcPr>
            <w:tcW w:w="2249" w:type="dxa"/>
            <w:gridSpan w:val="3"/>
            <w:tcBorders>
              <w:top w:val="single" w:color="000000" w:sz="4" w:space="0"/>
              <w:left w:val="single" w:color="000000" w:sz="4" w:space="0"/>
              <w:bottom w:val="single" w:color="auto"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2251" w:type="dxa"/>
            <w:tcBorders>
              <w:top w:val="single" w:color="000000" w:sz="4" w:space="0"/>
              <w:left w:val="single" w:color="000000" w:sz="4" w:space="0"/>
              <w:bottom w:val="single" w:color="auto"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8.6</w:t>
            </w:r>
          </w:p>
        </w:tc>
      </w:tr>
      <w:tr>
        <w:tblPrEx>
          <w:tblLayout w:type="fixed"/>
          <w:tblCellMar>
            <w:top w:w="15" w:type="dxa"/>
            <w:left w:w="15" w:type="dxa"/>
            <w:bottom w:w="15" w:type="dxa"/>
            <w:right w:w="15" w:type="dxa"/>
          </w:tblCellMar>
        </w:tblPrEx>
        <w:trPr>
          <w:trHeight w:val="300" w:hRule="atLeast"/>
        </w:trPr>
        <w:tc>
          <w:tcPr>
            <w:tcW w:w="1150"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2101050</w:t>
            </w:r>
          </w:p>
        </w:tc>
        <w:tc>
          <w:tcPr>
            <w:tcW w:w="24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 xml:space="preserve">  事业运行</w:t>
            </w:r>
          </w:p>
        </w:tc>
        <w:tc>
          <w:tcPr>
            <w:tcW w:w="224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23.7</w:t>
            </w:r>
          </w:p>
        </w:tc>
        <w:tc>
          <w:tcPr>
            <w:tcW w:w="2249" w:type="dxa"/>
            <w:gridSpan w:val="3"/>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23.7</w:t>
            </w:r>
          </w:p>
        </w:tc>
        <w:tc>
          <w:tcPr>
            <w:tcW w:w="225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150"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221</w:t>
            </w:r>
          </w:p>
        </w:tc>
        <w:tc>
          <w:tcPr>
            <w:tcW w:w="24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住房保障支出</w:t>
            </w:r>
          </w:p>
        </w:tc>
        <w:tc>
          <w:tcPr>
            <w:tcW w:w="224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2249" w:type="dxa"/>
            <w:gridSpan w:val="3"/>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225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150"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22102</w:t>
            </w:r>
          </w:p>
        </w:tc>
        <w:tc>
          <w:tcPr>
            <w:tcW w:w="24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住房改革支出</w:t>
            </w:r>
          </w:p>
        </w:tc>
        <w:tc>
          <w:tcPr>
            <w:tcW w:w="224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2249" w:type="dxa"/>
            <w:gridSpan w:val="3"/>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225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1150"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2210201</w:t>
            </w:r>
          </w:p>
        </w:tc>
        <w:tc>
          <w:tcPr>
            <w:tcW w:w="24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22"/>
                <w:szCs w:val="22"/>
              </w:rPr>
            </w:pPr>
            <w:r>
              <w:rPr>
                <w:rFonts w:hint="eastAsia" w:cs="Arial"/>
                <w:color w:val="000000"/>
                <w:sz w:val="22"/>
                <w:szCs w:val="22"/>
              </w:rPr>
              <w:t xml:space="preserve">  住房公积金</w:t>
            </w:r>
          </w:p>
        </w:tc>
        <w:tc>
          <w:tcPr>
            <w:tcW w:w="224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2249" w:type="dxa"/>
            <w:gridSpan w:val="3"/>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225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600" w:hRule="atLeast"/>
        </w:trPr>
        <w:tc>
          <w:tcPr>
            <w:tcW w:w="10374" w:type="dxa"/>
            <w:gridSpan w:val="8"/>
            <w:tcBorders>
              <w:top w:val="single" w:color="auto"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注：本表反映部门本年度一般公共预算财政拨款实际支出情况。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5"/>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9"/>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29.1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5.7</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19.2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办公费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0.6</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7.1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印刷费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咨询费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手续费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水费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1.3</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邮电费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取暖费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物业管理费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差旅费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因公出国</w:t>
            </w:r>
            <w:r>
              <w:rPr>
                <w:rFonts w:ascii="宋体" w:hAnsi="宋体" w:cs="宋体"/>
                <w:color w:val="000000"/>
                <w:kern w:val="0"/>
                <w:sz w:val="16"/>
                <w:szCs w:val="16"/>
              </w:rPr>
              <w:t>(</w:t>
            </w:r>
            <w:r>
              <w:rPr>
                <w:rFonts w:hint="eastAsia" w:ascii="宋体" w:hAnsi="宋体" w:cs="宋体"/>
                <w:color w:val="000000"/>
                <w:kern w:val="0"/>
                <w:sz w:val="16"/>
                <w:szCs w:val="16"/>
              </w:rPr>
              <w:t>境</w:t>
            </w:r>
            <w:r>
              <w:rPr>
                <w:rFonts w:ascii="宋体" w:hAnsi="宋体" w:cs="宋体"/>
                <w:color w:val="000000"/>
                <w:kern w:val="0"/>
                <w:sz w:val="16"/>
                <w:szCs w:val="16"/>
              </w:rPr>
              <w:t>)</w:t>
            </w:r>
            <w:r>
              <w:rPr>
                <w:rFonts w:hint="eastAsia" w:ascii="宋体" w:hAnsi="宋体" w:cs="宋体"/>
                <w:color w:val="000000"/>
                <w:kern w:val="0"/>
                <w:sz w:val="16"/>
                <w:szCs w:val="16"/>
              </w:rPr>
              <w:t>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退职</w:t>
            </w:r>
            <w:r>
              <w:rPr>
                <w:rFonts w:ascii="宋体" w:hAnsi="宋体" w:cs="宋体"/>
                <w:color w:val="000000"/>
                <w:kern w:val="0"/>
                <w:sz w:val="16"/>
                <w:szCs w:val="16"/>
              </w:rPr>
              <w:t>(</w:t>
            </w:r>
            <w:r>
              <w:rPr>
                <w:rFonts w:hint="eastAsia" w:ascii="宋体" w:hAnsi="宋体" w:cs="宋体"/>
                <w:color w:val="000000"/>
                <w:kern w:val="0"/>
                <w:sz w:val="16"/>
                <w:szCs w:val="16"/>
              </w:rPr>
              <w:t>役</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租赁费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会议费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培训费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公务接待费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专用材料费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2.8</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0.1</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0.2</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0.1</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0.0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Arial" w:hAnsi="Arial" w:cs="Arial"/>
                <w:color w:val="000000"/>
                <w:sz w:val="20"/>
                <w:szCs w:val="20"/>
              </w:rPr>
            </w:pPr>
            <w:r>
              <w:rPr>
                <w:rFonts w:hint="eastAsia" w:ascii="宋体" w:hAnsi="宋体" w:cs="宋体"/>
                <w:color w:val="000000"/>
                <w:kern w:val="0"/>
                <w:sz w:val="22"/>
                <w:szCs w:val="22"/>
              </w:rPr>
              <w:t>2.0</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房屋建筑物购建</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办公设备购置</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专用设备购置</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基础设施建设</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大型修缮</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信息网络及软件购置更新</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物资储备</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土地补偿</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安置补助</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地上附着物和青苗补偿</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拆迁补偿</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公务用车购置</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其他交通工具购置</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产权参股</w:t>
            </w:r>
          </w:p>
        </w:tc>
        <w:tc>
          <w:tcPr>
            <w:tcW w:w="1710" w:type="dxa"/>
            <w:tcBorders>
              <w:top w:val="single" w:color="000000" w:sz="4" w:space="0"/>
              <w:left w:val="single" w:color="000000" w:sz="4" w:space="0"/>
              <w:bottom w:val="single" w:color="000000" w:sz="4"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12" w:space="0"/>
              <w:right w:val="single" w:color="000000" w:sz="4" w:space="0"/>
            </w:tcBorders>
            <w:vAlign w:val="bottom"/>
          </w:tcPr>
          <w:p>
            <w:pPr>
              <w:rPr>
                <w:rFonts w:ascii="Arial" w:hAnsi="Arial" w:cs="Arial"/>
                <w:color w:val="000000"/>
                <w:sz w:val="20"/>
                <w:szCs w:val="20"/>
              </w:rPr>
            </w:pP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其他资本性支出</w:t>
            </w:r>
          </w:p>
        </w:tc>
        <w:tc>
          <w:tcPr>
            <w:tcW w:w="1710" w:type="dxa"/>
            <w:tcBorders>
              <w:top w:val="single" w:color="000000" w:sz="4" w:space="0"/>
              <w:left w:val="single" w:color="000000" w:sz="4" w:space="0"/>
              <w:bottom w:val="single" w:color="000000" w:sz="12" w:space="0"/>
              <w:right w:val="single" w:color="000000" w:sz="12"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477" w:hRule="atLeast"/>
        </w:trPr>
        <w:tc>
          <w:tcPr>
            <w:tcW w:w="10485" w:type="dxa"/>
            <w:gridSpan w:val="9"/>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5"/>
        <w:tblW w:w="10485" w:type="dxa"/>
        <w:tblInd w:w="-911" w:type="dxa"/>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Layout w:type="fixed"/>
          <w:tblCellMar>
            <w:top w:w="15" w:type="dxa"/>
            <w:left w:w="15" w:type="dxa"/>
            <w:bottom w:w="15" w:type="dxa"/>
            <w:right w:w="15" w:type="dxa"/>
          </w:tblCellMar>
        </w:tblPrEx>
        <w:trPr>
          <w:trHeight w:val="375" w:hRule="atLeast"/>
        </w:trPr>
        <w:tc>
          <w:tcPr>
            <w:tcW w:w="10485" w:type="dxa"/>
            <w:gridSpan w:val="2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Layout w:type="fixed"/>
          <w:tblCellMar>
            <w:top w:w="15" w:type="dxa"/>
            <w:left w:w="15" w:type="dxa"/>
            <w:bottom w:w="15" w:type="dxa"/>
            <w:right w:w="15" w:type="dxa"/>
          </w:tblCellMar>
        </w:tblPrEx>
        <w:trPr>
          <w:trHeight w:val="285"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年度决算数</w:t>
            </w:r>
          </w:p>
        </w:tc>
      </w:tr>
      <w:tr>
        <w:tblPrEx>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r>
      <w:tr>
        <w:tblPrEx>
          <w:tblLayout w:type="fixed"/>
          <w:tblCellMar>
            <w:top w:w="15" w:type="dxa"/>
            <w:left w:w="15" w:type="dxa"/>
            <w:bottom w:w="15" w:type="dxa"/>
            <w:right w:w="15" w:type="dxa"/>
          </w:tblCellMar>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tblPrEx>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jc w:val="right"/>
              <w:rPr>
                <w:rFonts w:ascii="宋体" w:cs="宋体"/>
                <w:b/>
                <w:color w:val="000000"/>
                <w:sz w:val="20"/>
                <w:szCs w:val="20"/>
              </w:rPr>
            </w:pPr>
            <w:r>
              <w:rPr>
                <w:rFonts w:hint="eastAsia" w:ascii="宋体" w:cs="宋体"/>
                <w:b/>
                <w:color w:val="000000"/>
                <w:sz w:val="20"/>
                <w:szCs w:val="20"/>
              </w:rPr>
              <w:t>4.6</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20"/>
                <w:szCs w:val="20"/>
              </w:rPr>
            </w:pP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4.6</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20"/>
                <w:szCs w:val="20"/>
              </w:rPr>
            </w:pP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4.6</w:t>
            </w:r>
          </w:p>
        </w:tc>
        <w:tc>
          <w:tcPr>
            <w:tcW w:w="915"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20"/>
                <w:szCs w:val="20"/>
              </w:rPr>
            </w:pP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b/>
                <w:color w:val="000000"/>
                <w:sz w:val="20"/>
                <w:szCs w:val="20"/>
              </w:rPr>
            </w:pPr>
            <w:r>
              <w:rPr>
                <w:rFonts w:hint="eastAsia" w:ascii="宋体" w:cs="宋体"/>
                <w:b/>
                <w:color w:val="000000"/>
                <w:sz w:val="20"/>
                <w:szCs w:val="20"/>
              </w:rPr>
              <w:t>4.6</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20"/>
                <w:szCs w:val="20"/>
              </w:rPr>
            </w:pP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4.6</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20"/>
                <w:szCs w:val="20"/>
              </w:rPr>
            </w:pPr>
          </w:p>
        </w:tc>
        <w:tc>
          <w:tcPr>
            <w:tcW w:w="8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20"/>
                <w:szCs w:val="20"/>
              </w:rPr>
            </w:pPr>
            <w:r>
              <w:rPr>
                <w:rFonts w:hint="eastAsia" w:ascii="宋体" w:cs="宋体"/>
                <w:color w:val="000000"/>
                <w:sz w:val="20"/>
                <w:szCs w:val="20"/>
              </w:rPr>
              <w:t>4.6</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20"/>
                <w:szCs w:val="20"/>
              </w:rPr>
            </w:pPr>
          </w:p>
        </w:tc>
      </w:tr>
      <w:tr>
        <w:tblPrEx>
          <w:tblLayout w:type="fixed"/>
          <w:tblCellMar>
            <w:top w:w="15" w:type="dxa"/>
            <w:left w:w="15" w:type="dxa"/>
            <w:bottom w:w="15" w:type="dxa"/>
            <w:right w:w="15" w:type="dxa"/>
          </w:tblCellMar>
        </w:tblPrEx>
        <w:trPr>
          <w:trHeight w:val="600" w:hRule="atLeast"/>
        </w:trPr>
        <w:tc>
          <w:tcPr>
            <w:tcW w:w="10485" w:type="dxa"/>
            <w:gridSpan w:val="2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注：本表反映部门本年度“三公”经费支出预决算情况。其中，</w:t>
            </w:r>
            <w:r>
              <w:rPr>
                <w:rFonts w:ascii="宋体" w:hAnsi="宋体" w:cs="宋体"/>
                <w:color w:val="000000"/>
                <w:kern w:val="0"/>
                <w:sz w:val="16"/>
                <w:szCs w:val="16"/>
              </w:rPr>
              <w:t>2016</w:t>
            </w:r>
            <w:r>
              <w:rPr>
                <w:rFonts w:hint="eastAsia" w:ascii="宋体" w:hAnsi="宋体" w:cs="宋体"/>
                <w:color w:val="000000"/>
                <w:kern w:val="0"/>
                <w:sz w:val="16"/>
                <w:szCs w:val="16"/>
              </w:rPr>
              <w:t>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5"/>
        <w:tblW w:w="10500" w:type="dxa"/>
        <w:tblInd w:w="-902" w:type="dxa"/>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文化体育与传媒支出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国家电影事业发展专项资金及对应专项债务收入安排的支出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2070701</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资助国产影片放映</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资助城市影院</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2070703</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资助少数民族电影译制</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2070799</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其他国家电影事业发展专项资金支出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208</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社会保障和就业支出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20822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大中型水库移民后期扶持基金支出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hint="eastAsia" w:ascii="宋体" w:hAnsi="宋体" w:cs="宋体"/>
                <w:color w:val="000000"/>
                <w:kern w:val="0"/>
                <w:sz w:val="16"/>
                <w:szCs w:val="16"/>
              </w:rPr>
            </w:pPr>
            <w:r>
              <w:rPr>
                <w:rFonts w:hint="eastAsia" w:ascii="宋体" w:hAnsi="宋体" w:cs="宋体"/>
                <w:color w:val="000000"/>
                <w:kern w:val="0"/>
                <w:sz w:val="16"/>
                <w:szCs w:val="16"/>
              </w:rPr>
              <w:t>注：本表反映部门本年度政府性基金预算财政拨款收入支出及结转和结余情况。</w:t>
            </w:r>
          </w:p>
          <w:p>
            <w:pPr>
              <w:widowControl/>
              <w:jc w:val="left"/>
              <w:textAlignment w:val="center"/>
              <w:rPr>
                <w:rFonts w:hint="eastAsia" w:ascii="宋体" w:hAnsi="宋体" w:cs="宋体"/>
                <w:color w:val="000000"/>
                <w:kern w:val="0"/>
                <w:sz w:val="16"/>
                <w:szCs w:val="16"/>
              </w:rPr>
            </w:pPr>
            <w:r>
              <w:rPr>
                <w:rFonts w:hint="eastAsia" w:ascii="宋体" w:hAnsi="宋体" w:cs="宋体"/>
                <w:b/>
                <w:color w:val="FF0000"/>
                <w:kern w:val="0"/>
                <w:sz w:val="20"/>
                <w:szCs w:val="20"/>
              </w:rPr>
              <w:t>说明：</w:t>
            </w:r>
            <w:r>
              <w:rPr>
                <w:rFonts w:hint="eastAsia" w:ascii="宋体" w:hAnsi="宋体" w:cs="宋体"/>
                <w:b/>
                <w:color w:val="FF0000"/>
                <w:kern w:val="0"/>
                <w:sz w:val="20"/>
                <w:szCs w:val="20"/>
                <w:lang w:eastAsia="zh-CN"/>
              </w:rPr>
              <w:t>平顶山市食品安全监督所</w:t>
            </w:r>
            <w:r>
              <w:rPr>
                <w:rFonts w:hint="eastAsia" w:ascii="宋体" w:hAnsi="宋体" w:cs="宋体"/>
                <w:b/>
                <w:color w:val="FF0000"/>
                <w:kern w:val="0"/>
                <w:sz w:val="20"/>
                <w:szCs w:val="20"/>
              </w:rPr>
              <w:t>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ascii="隶书" w:hAnsi="隶书" w:eastAsia="隶书" w:cs="隶书"/>
          <w:sz w:val="48"/>
          <w:szCs w:val="48"/>
        </w:rPr>
      </w:pPr>
      <w:r>
        <w:rPr>
          <w:rFonts w:hint="eastAsia" w:ascii="隶书" w:hAnsi="隶书" w:eastAsia="隶书" w:cs="隶书"/>
          <w:sz w:val="48"/>
          <w:szCs w:val="48"/>
        </w:rPr>
        <w:t>平顶山市食品安全监督所</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ascii="隶书" w:hAnsi="隶书" w:eastAsia="隶书" w:cs="隶书"/>
          <w:sz w:val="48"/>
          <w:szCs w:val="48"/>
        </w:rPr>
        <w:t>2016</w:t>
      </w:r>
      <w:r>
        <w:rPr>
          <w:rFonts w:hint="eastAsia" w:ascii="隶书" w:hAnsi="隶书" w:eastAsia="隶书" w:cs="隶书"/>
          <w:sz w:val="48"/>
          <w:szCs w:val="48"/>
        </w:rPr>
        <w:t>年度部门决算情况说明</w:t>
      </w:r>
    </w:p>
    <w:p>
      <w:pPr>
        <w:numPr>
          <w:ilvl w:val="0"/>
          <w:numId w:val="4"/>
        </w:numPr>
        <w:adjustRightInd w:val="0"/>
        <w:snapToGrid w:val="0"/>
        <w:spacing w:line="360" w:lineRule="auto"/>
        <w:ind w:firstLine="640" w:firstLineChars="200"/>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关于收入支出决算总体情况说明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2016年度收入总计</w:t>
      </w:r>
      <w:r>
        <w:rPr>
          <w:rFonts w:hint="eastAsia" w:ascii="仿宋_GB2312" w:hAnsi="宋体" w:eastAsia="仿宋_GB2312" w:cs="Courier New"/>
          <w:sz w:val="32"/>
          <w:szCs w:val="32"/>
          <w:lang w:val="en-US" w:eastAsia="zh-CN"/>
        </w:rPr>
        <w:t>110.8</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110.8</w:t>
      </w:r>
      <w:r>
        <w:rPr>
          <w:rFonts w:hint="eastAsia" w:ascii="仿宋_GB2312" w:hAnsi="宋体" w:eastAsia="仿宋_GB2312" w:cs="Courier New"/>
          <w:sz w:val="32"/>
          <w:szCs w:val="32"/>
        </w:rPr>
        <w:t>万元，与2015年相比，收入总计</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1.1</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下降</w:t>
      </w:r>
      <w:r>
        <w:rPr>
          <w:rFonts w:hint="eastAsia" w:ascii="仿宋_GB2312" w:hAnsi="宋体" w:eastAsia="仿宋_GB2312" w:cs="Courier New"/>
          <w:sz w:val="32"/>
          <w:szCs w:val="32"/>
          <w:lang w:val="en-US" w:eastAsia="zh-CN"/>
        </w:rPr>
        <w:t>1.0</w:t>
      </w:r>
      <w:r>
        <w:rPr>
          <w:rFonts w:hint="eastAsia" w:ascii="仿宋_GB2312" w:hAnsi="宋体" w:eastAsia="仿宋_GB2312" w:cs="Courier New"/>
          <w:sz w:val="32"/>
          <w:szCs w:val="32"/>
        </w:rPr>
        <w:t>%；支出总计减少1.1万元，下降1.</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adjustRightInd w:val="0"/>
        <w:snapToGrid w:val="0"/>
        <w:spacing w:line="360" w:lineRule="auto"/>
        <w:ind w:firstLine="640" w:firstLineChars="200"/>
        <w:outlineLvl w:val="1"/>
        <w:rPr>
          <w:rFonts w:hint="eastAsia" w:ascii="黑体" w:hAnsi="黑体" w:eastAsia="黑体" w:cs="黑体"/>
          <w:b w:val="0"/>
          <w:bCs w:val="0"/>
          <w:sz w:val="32"/>
          <w:szCs w:val="32"/>
        </w:rPr>
      </w:pPr>
      <w:r>
        <w:rPr>
          <w:rFonts w:hint="eastAsia" w:ascii="黑体" w:hAnsi="黑体" w:eastAsia="黑体" w:cs="黑体"/>
          <w:b w:val="0"/>
          <w:bCs w:val="0"/>
          <w:sz w:val="32"/>
          <w:szCs w:val="32"/>
        </w:rPr>
        <w:t>二、关于收入决算情况说明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rPr>
        <w:t>2016年度</w:t>
      </w:r>
      <w:r>
        <w:rPr>
          <w:rFonts w:hint="eastAsia" w:ascii="仿宋_GB2312" w:hAnsi="Times New Roman" w:eastAsia="仿宋_GB2312"/>
          <w:sz w:val="32"/>
          <w:szCs w:val="32"/>
        </w:rPr>
        <w:t>收入合计95万元，其中：财政拨款收入92.8万元，占97.7%；其他收入2.2万元，占2.3%。</w:t>
      </w:r>
    </w:p>
    <w:p>
      <w:pPr>
        <w:numPr>
          <w:ilvl w:val="0"/>
          <w:numId w:val="0"/>
        </w:numPr>
        <w:adjustRightInd w:val="0"/>
        <w:snapToGrid w:val="0"/>
        <w:spacing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2016年度支出合计94.9万元，其中：基本支出39.5万元，占41.6%；项目支出55.4万元，占58.</w:t>
      </w:r>
      <w:r>
        <w:rPr>
          <w:rFonts w:hint="eastAsia" w:ascii="仿宋_GB2312" w:hAnsi="宋体" w:eastAsia="仿宋_GB2312" w:cs="Courier New"/>
          <w:sz w:val="32"/>
          <w:szCs w:val="32"/>
          <w:lang w:val="en-US" w:eastAsia="zh-CN"/>
        </w:rPr>
        <w:t>4</w:t>
      </w:r>
      <w:r>
        <w:rPr>
          <w:rFonts w:hint="eastAsia" w:ascii="仿宋_GB2312" w:hAnsi="宋体" w:eastAsia="仿宋_GB2312" w:cs="Courier New"/>
          <w:sz w:val="32"/>
          <w:szCs w:val="32"/>
        </w:rPr>
        <w:t xml:space="preserve">%。 </w:t>
      </w:r>
    </w:p>
    <w:p>
      <w:pPr>
        <w:numPr>
          <w:ilvl w:val="0"/>
          <w:numId w:val="0"/>
        </w:numPr>
        <w:adjustRightInd w:val="0"/>
        <w:snapToGrid w:val="0"/>
        <w:spacing w:line="360" w:lineRule="auto"/>
        <w:ind w:firstLine="640" w:firstLineChars="200"/>
        <w:outlineLvl w:val="1"/>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2016年财政拨款收入总决算</w:t>
      </w:r>
      <w:r>
        <w:rPr>
          <w:rFonts w:hint="eastAsia" w:ascii="仿宋_GB2312" w:hAnsi="宋体" w:eastAsia="仿宋_GB2312" w:cs="Courier New"/>
          <w:sz w:val="32"/>
          <w:szCs w:val="32"/>
          <w:lang w:val="en-US" w:eastAsia="zh-CN"/>
        </w:rPr>
        <w:t>108.6</w:t>
      </w:r>
      <w:r>
        <w:rPr>
          <w:rFonts w:hint="eastAsia" w:ascii="仿宋_GB2312" w:hAnsi="宋体" w:eastAsia="仿宋_GB2312" w:cs="Courier New"/>
          <w:sz w:val="32"/>
          <w:szCs w:val="32"/>
        </w:rPr>
        <w:t>万元，财政拨款支出总决算</w:t>
      </w:r>
      <w:r>
        <w:rPr>
          <w:rFonts w:hint="eastAsia" w:ascii="仿宋_GB2312" w:hAnsi="宋体" w:eastAsia="仿宋_GB2312" w:cs="Courier New"/>
          <w:sz w:val="32"/>
          <w:szCs w:val="32"/>
          <w:lang w:val="en-US" w:eastAsia="zh-CN"/>
        </w:rPr>
        <w:t>108.6</w:t>
      </w:r>
      <w:r>
        <w:rPr>
          <w:rFonts w:hint="eastAsia" w:ascii="仿宋_GB2312" w:hAnsi="宋体" w:eastAsia="仿宋_GB2312" w:cs="Courier New"/>
          <w:sz w:val="32"/>
          <w:szCs w:val="32"/>
        </w:rPr>
        <w:t>万元。与2015年相比，财政拨款收入总计</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rPr>
        <w:t>3.</w:t>
      </w:r>
      <w:r>
        <w:rPr>
          <w:rFonts w:hint="eastAsia" w:ascii="仿宋_GB2312" w:hAnsi="宋体" w:eastAsia="仿宋_GB2312" w:cs="Courier New"/>
          <w:sz w:val="32"/>
          <w:szCs w:val="32"/>
          <w:lang w:val="en-US" w:eastAsia="zh-CN"/>
        </w:rPr>
        <w:t>3</w:t>
      </w:r>
      <w:r>
        <w:rPr>
          <w:rFonts w:hint="eastAsia" w:ascii="仿宋_GB2312" w:hAnsi="宋体" w:eastAsia="仿宋_GB2312" w:cs="Courier New"/>
          <w:sz w:val="32"/>
          <w:szCs w:val="32"/>
        </w:rPr>
        <w:t>万元，增长3.</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%；财政拨款支出总计减少3.</w:t>
      </w:r>
      <w:r>
        <w:rPr>
          <w:rFonts w:hint="eastAsia" w:ascii="仿宋_GB2312" w:hAnsi="宋体" w:eastAsia="仿宋_GB2312" w:cs="Courier New"/>
          <w:sz w:val="32"/>
          <w:szCs w:val="32"/>
          <w:lang w:val="en-US" w:eastAsia="zh-CN"/>
        </w:rPr>
        <w:t>3</w:t>
      </w:r>
      <w:r>
        <w:rPr>
          <w:rFonts w:hint="eastAsia" w:ascii="仿宋_GB2312" w:hAnsi="宋体" w:eastAsia="仿宋_GB2312" w:cs="Courier New"/>
          <w:sz w:val="32"/>
          <w:szCs w:val="32"/>
        </w:rPr>
        <w:t>万元，下降3.</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w:t>
      </w:r>
    </w:p>
    <w:p>
      <w:pPr>
        <w:numPr>
          <w:ilvl w:val="0"/>
          <w:numId w:val="0"/>
        </w:numPr>
        <w:adjustRightInd w:val="0"/>
        <w:snapToGrid w:val="0"/>
        <w:spacing w:line="360" w:lineRule="auto"/>
        <w:ind w:left="851" w:leftChars="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关于一般公共预算财政拨款支出决算情况说明</w:t>
      </w:r>
    </w:p>
    <w:p>
      <w:pPr>
        <w:numPr>
          <w:ilvl w:val="0"/>
          <w:numId w:val="5"/>
        </w:num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2016年一般公共预算财政拨款支出92.</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万元，占支出合计的97.</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%。与2015年相比，一般公共预算财政拨款支出减少3.4万元，下降3.5%。</w:t>
      </w:r>
    </w:p>
    <w:p>
      <w:pPr>
        <w:numPr>
          <w:ilvl w:val="0"/>
          <w:numId w:val="0"/>
        </w:numPr>
        <w:adjustRightInd w:val="0"/>
        <w:snapToGrid w:val="0"/>
        <w:spacing w:line="360" w:lineRule="auto"/>
        <w:ind w:left="800" w:leftChars="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2016年度一般公共预算财政拨款支出92.</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万元，主要用于以下方面：</w:t>
      </w:r>
      <w:r>
        <w:rPr>
          <w:rFonts w:hint="eastAsia" w:ascii="仿宋_GB2312" w:hAnsi="宋体" w:eastAsia="仿宋_GB2312" w:cs="Courier New"/>
          <w:bCs/>
          <w:sz w:val="32"/>
          <w:szCs w:val="32"/>
        </w:rPr>
        <w:t>社会保障和就业支出1.</w:t>
      </w:r>
      <w:r>
        <w:rPr>
          <w:rFonts w:hint="eastAsia" w:ascii="仿宋_GB2312" w:hAnsi="宋体" w:eastAsia="仿宋_GB2312" w:cs="Courier New"/>
          <w:bCs/>
          <w:sz w:val="32"/>
          <w:szCs w:val="32"/>
          <w:lang w:val="en-US" w:eastAsia="zh-CN"/>
        </w:rPr>
        <w:t>5</w:t>
      </w:r>
      <w:r>
        <w:rPr>
          <w:rFonts w:hint="eastAsia" w:ascii="仿宋_GB2312" w:hAnsi="宋体" w:eastAsia="仿宋_GB2312" w:cs="Courier New"/>
          <w:bCs/>
          <w:sz w:val="32"/>
          <w:szCs w:val="32"/>
        </w:rPr>
        <w:t>万元，占支出合计的1.6%；医疗卫生与计划生育支出88.7万元，占支出合计的95.7%；住房保障支出2.</w:t>
      </w:r>
      <w:r>
        <w:rPr>
          <w:rFonts w:hint="eastAsia" w:ascii="仿宋_GB2312" w:hAnsi="宋体" w:eastAsia="仿宋_GB2312" w:cs="Courier New"/>
          <w:bCs/>
          <w:sz w:val="32"/>
          <w:szCs w:val="32"/>
          <w:lang w:val="en-US" w:eastAsia="zh-CN"/>
        </w:rPr>
        <w:t>5</w:t>
      </w:r>
      <w:r>
        <w:rPr>
          <w:rFonts w:hint="eastAsia" w:ascii="仿宋_GB2312" w:hAnsi="宋体" w:eastAsia="仿宋_GB2312" w:cs="Courier New"/>
          <w:bCs/>
          <w:sz w:val="32"/>
          <w:szCs w:val="32"/>
        </w:rPr>
        <w:t>万元，占支出合计的2.7%。</w:t>
      </w:r>
    </w:p>
    <w:p>
      <w:pPr>
        <w:numPr>
          <w:ilvl w:val="0"/>
          <w:numId w:val="0"/>
        </w:numPr>
        <w:adjustRightInd w:val="0"/>
        <w:snapToGrid w:val="0"/>
        <w:spacing w:line="360" w:lineRule="auto"/>
        <w:ind w:left="851" w:leftChars="0"/>
        <w:outlineLvl w:val="1"/>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关于一般公共预算财政拨款基本支出决算情况说明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2016年一般公共预算财政拨款基本支出92.</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万元，其中：</w:t>
      </w:r>
      <w:r>
        <w:rPr>
          <w:rFonts w:hint="eastAsia" w:ascii="仿宋_GB2312" w:hAnsi="Times New Roman" w:eastAsia="仿宋_GB2312" w:cs="仿宋_GB2312"/>
          <w:bCs/>
          <w:spacing w:val="-1"/>
          <w:kern w:val="0"/>
          <w:sz w:val="32"/>
          <w:szCs w:val="32"/>
        </w:rPr>
        <w:t>基本支出37.3万元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项目支出55.</w:t>
      </w:r>
      <w:r>
        <w:rPr>
          <w:rFonts w:hint="eastAsia" w:ascii="仿宋_GB2312" w:hAnsi="宋体" w:eastAsia="仿宋_GB2312" w:cs="Courier New"/>
          <w:sz w:val="32"/>
          <w:szCs w:val="32"/>
          <w:lang w:val="en-US" w:eastAsia="zh-CN"/>
        </w:rPr>
        <w:t>4</w:t>
      </w:r>
      <w:r>
        <w:rPr>
          <w:rFonts w:hint="eastAsia" w:ascii="仿宋_GB2312" w:hAnsi="宋体" w:eastAsia="仿宋_GB2312" w:cs="Courier New"/>
          <w:sz w:val="32"/>
          <w:szCs w:val="32"/>
        </w:rPr>
        <w:t>万元。</w:t>
      </w:r>
    </w:p>
    <w:p>
      <w:pPr>
        <w:numPr>
          <w:ilvl w:val="0"/>
          <w:numId w:val="6"/>
        </w:numPr>
        <w:kinsoku w:val="0"/>
        <w:overflowPunct w:val="0"/>
        <w:autoSpaceDE w:val="0"/>
        <w:autoSpaceDN w:val="0"/>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 “三公”经费财政拨款支出决算总体情况说明。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预算为4.6万元，支出决算为4.6万元，完成预算的100%，其中：因公出国（境）费支出决算为0万元，完成预算的100%；公务用车购置及运行费支出决算为4.6万元，完成预算的100%；公务接待费支出决算为0万元，完成预算的100%。2016年度“三公”经费财政拨款支出决算数比2015年减少</w:t>
      </w:r>
      <w:r>
        <w:rPr>
          <w:rFonts w:hint="eastAsia" w:ascii="仿宋_GB2312" w:hAnsi="宋体" w:eastAsia="仿宋_GB2312" w:cs="Courier New"/>
          <w:sz w:val="32"/>
          <w:szCs w:val="32"/>
          <w:lang w:val="en-US" w:eastAsia="zh-CN"/>
        </w:rPr>
        <w:t>12.2</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72.6</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主要原因为2015年公务用车购置费为8.3万元，2016年公务用车费为0万元</w:t>
      </w:r>
      <w:r>
        <w:rPr>
          <w:rFonts w:hint="eastAsia" w:ascii="仿宋_GB2312" w:hAnsi="宋体" w:eastAsia="仿宋_GB2312" w:cs="Courier New"/>
          <w:sz w:val="32"/>
          <w:szCs w:val="32"/>
        </w:rPr>
        <w:t xml:space="preserve">。 </w:t>
      </w:r>
    </w:p>
    <w:p>
      <w:pPr>
        <w:numPr>
          <w:ilvl w:val="0"/>
          <w:numId w:val="6"/>
        </w:numPr>
        <w:kinsoku w:val="0"/>
        <w:overflowPunct w:val="0"/>
        <w:autoSpaceDE w:val="0"/>
        <w:autoSpaceDN w:val="0"/>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2016年度“三公”经费财政拨款支出决算中，因公出国（境）费支出决算0万元，占0%；公务用车购置及运行费支出决算4.6万元，占100%；公务接待费支出决算0万元，占0%。</w:t>
      </w:r>
    </w:p>
    <w:p>
      <w:pPr>
        <w:kinsoku w:val="0"/>
        <w:overflowPunct w:val="0"/>
        <w:autoSpaceDE w:val="0"/>
        <w:autoSpaceDN w:val="0"/>
        <w:adjustRightInd w:val="0"/>
        <w:snapToGrid w:val="0"/>
        <w:spacing w:line="360" w:lineRule="auto"/>
        <w:ind w:left="-567" w:leftChars="-270" w:firstLine="1280" w:firstLineChars="400"/>
        <w:outlineLvl w:val="1"/>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关于政府性基金预算财政拨款支出决算情况说明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2016年度政府性基金预算财政拨款支出年初预算为0万元，支出决算为0万元。</w:t>
      </w:r>
    </w:p>
    <w:p>
      <w:pPr>
        <w:kinsoku w:val="0"/>
        <w:overflowPunct w:val="0"/>
        <w:autoSpaceDE w:val="0"/>
        <w:autoSpaceDN w:val="0"/>
        <w:adjustRightInd w:val="0"/>
        <w:snapToGrid w:val="0"/>
        <w:spacing w:line="360" w:lineRule="auto"/>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lang w:eastAsia="zh-CN"/>
        </w:rPr>
        <w:t>八、</w:t>
      </w:r>
      <w:r>
        <w:rPr>
          <w:rFonts w:hint="eastAsia" w:ascii="黑体" w:hAnsi="黑体" w:eastAsia="黑体" w:cs="黑体"/>
          <w:bCs/>
          <w:kern w:val="0"/>
          <w:sz w:val="32"/>
          <w:szCs w:val="32"/>
        </w:rPr>
        <w:t>国有资产占用情况。</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2016年期末，平顶山市食品安全监督所共有一般公务用车2辆，单价20万元以上通用设备0台（套）。</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sectPr>
          <w:pgSz w:w="11906" w:h="16838"/>
          <w:pgMar w:top="1440" w:right="1531" w:bottom="1440" w:left="1587" w:header="850" w:footer="992" w:gutter="0"/>
          <w:pgNumType w:fmt="numberInDash"/>
          <w:cols w:space="0" w:num="1"/>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bCs/>
          <w:sz w:val="32"/>
          <w:szCs w:val="32"/>
        </w:rPr>
        <w:t>一、财政补助收入：是指单位从同级财政部门取得的各类财政拨款，是</w:t>
      </w:r>
      <w:r>
        <w:rPr>
          <w:rFonts w:hint="eastAsia" w:ascii="黑体" w:hAnsi="黑体" w:eastAsia="黑体" w:cs="黑体"/>
          <w:sz w:val="32"/>
          <w:szCs w:val="32"/>
        </w:rPr>
        <w:t>单位为开展业务及其他活动依法取得的非偿还性资金。</w:t>
      </w:r>
    </w:p>
    <w:p>
      <w:pPr>
        <w:kinsoku w:val="0"/>
        <w:overflowPunct w:val="0"/>
        <w:autoSpaceDE w:val="0"/>
        <w:autoSpaceDN w:val="0"/>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bCs/>
          <w:sz w:val="32"/>
          <w:szCs w:val="32"/>
        </w:rPr>
        <w:t>二、其他收入：</w:t>
      </w:r>
      <w:r>
        <w:rPr>
          <w:rFonts w:hint="eastAsia" w:ascii="黑体" w:hAnsi="黑体" w:eastAsia="黑体" w:cs="黑体"/>
          <w:sz w:val="32"/>
          <w:szCs w:val="32"/>
        </w:rPr>
        <w:t>指单位取得的除“财政拨款收入”、“事业收入”、“经营收入”等以外的收入。</w:t>
      </w:r>
    </w:p>
    <w:p>
      <w:pPr>
        <w:kinsoku w:val="0"/>
        <w:overflowPunct w:val="0"/>
        <w:autoSpaceDE w:val="0"/>
        <w:autoSpaceDN w:val="0"/>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bCs/>
          <w:sz w:val="32"/>
          <w:szCs w:val="32"/>
        </w:rPr>
        <w:t>三、年末结转和结余：</w:t>
      </w:r>
      <w:r>
        <w:rPr>
          <w:rFonts w:hint="eastAsia" w:ascii="黑体" w:hAnsi="黑体" w:eastAsia="黑体" w:cs="黑体"/>
          <w:sz w:val="32"/>
          <w:szCs w:val="32"/>
        </w:rPr>
        <w:t>指本年度或以前年度预算安排、因客观条件发生变化无法按原计划实施，需延迟到以后年度按有关规定继续使用的资金。</w:t>
      </w:r>
    </w:p>
    <w:p>
      <w:pPr>
        <w:kinsoku w:val="0"/>
        <w:overflowPunct w:val="0"/>
        <w:autoSpaceDE w:val="0"/>
        <w:autoSpaceDN w:val="0"/>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bCs/>
          <w:sz w:val="32"/>
          <w:szCs w:val="32"/>
        </w:rPr>
        <w:t>四、基本支出：</w:t>
      </w:r>
      <w:r>
        <w:rPr>
          <w:rFonts w:hint="eastAsia" w:ascii="黑体" w:hAnsi="黑体" w:eastAsia="黑体" w:cs="黑体"/>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bCs/>
          <w:sz w:val="32"/>
          <w:szCs w:val="32"/>
        </w:rPr>
        <w:t>五、项目支出：</w:t>
      </w:r>
      <w:r>
        <w:rPr>
          <w:rFonts w:hint="eastAsia" w:ascii="黑体" w:hAnsi="黑体" w:eastAsia="黑体" w:cs="黑体"/>
          <w:sz w:val="32"/>
          <w:szCs w:val="32"/>
        </w:rPr>
        <w:t>指在基本支出之外为完成特定行政任务和事业发展目标所发生的支出</w:t>
      </w:r>
    </w:p>
    <w:p>
      <w:pPr>
        <w:kinsoku w:val="0"/>
        <w:overflowPunct w:val="0"/>
        <w:autoSpaceDE w:val="0"/>
        <w:autoSpaceDN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bCs/>
          <w:sz w:val="32"/>
          <w:szCs w:val="32"/>
        </w:rPr>
        <w:t>六、“三公”经费：</w:t>
      </w:r>
      <w:r>
        <w:rPr>
          <w:rFonts w:hint="eastAsia" w:ascii="黑体" w:hAnsi="黑体" w:eastAsia="黑体" w:cs="黑体"/>
          <w:sz w:val="32"/>
          <w:szCs w:val="32"/>
        </w:rPr>
        <w:t>纳入市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七、社会保障和就业支出：是指单位按国家规定为个人（包括长期聘用人员）缴纳的基本养老、职业年金、基本医疗、生育等社会保险费，残疾人就业保障金等。</w:t>
      </w:r>
    </w:p>
    <w:p>
      <w:pPr>
        <w:kinsoku w:val="0"/>
        <w:overflowPunct w:val="0"/>
        <w:autoSpaceDE w:val="0"/>
        <w:autoSpaceDN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八、医疗卫生与计划生育支出：反映政府医疗卫生与计划生育方面的支出。</w:t>
      </w:r>
    </w:p>
    <w:p>
      <w:pPr>
        <w:kinsoku w:val="0"/>
        <w:overflowPunct w:val="0"/>
        <w:autoSpaceDE w:val="0"/>
        <w:autoSpaceDN w:val="0"/>
        <w:adjustRightInd w:val="0"/>
        <w:snapToGrid w:val="0"/>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九、住房保障支出：指单位按照国家政策规定的基本工资和津贴补贴以及规定比例为职工缴纳的住房公积金、提租补贴、购房补贴等支出。</w:t>
      </w:r>
    </w:p>
    <w:p>
      <w:pPr>
        <w:kinsoku w:val="0"/>
        <w:overflowPunct w:val="0"/>
        <w:autoSpaceDE w:val="0"/>
        <w:autoSpaceDN w:val="0"/>
        <w:adjustRightInd w:val="0"/>
        <w:snapToGrid w:val="0"/>
        <w:spacing w:line="360" w:lineRule="auto"/>
        <w:ind w:firstLine="640" w:firstLineChars="200"/>
        <w:rPr>
          <w:rFonts w:hint="eastAsia" w:ascii="黑体" w:hAnsi="黑体" w:eastAsia="黑体" w:cs="黑体"/>
          <w:sz w:val="32"/>
          <w:szCs w:val="32"/>
        </w:rPr>
      </w:pPr>
    </w:p>
    <w:p>
      <w:pPr>
        <w:kinsoku w:val="0"/>
        <w:overflowPunct w:val="0"/>
        <w:autoSpaceDE w:val="0"/>
        <w:autoSpaceDN w:val="0"/>
        <w:adjustRightInd w:val="0"/>
        <w:snapToGrid w:val="0"/>
        <w:spacing w:line="360" w:lineRule="auto"/>
        <w:ind w:firstLine="640" w:firstLineChars="200"/>
        <w:rPr>
          <w:rFonts w:hint="eastAsia" w:ascii="黑体" w:hAnsi="黑体" w:eastAsia="黑体" w:cs="黑体"/>
          <w:sz w:val="32"/>
          <w:szCs w:val="32"/>
        </w:rPr>
      </w:pPr>
    </w:p>
    <w:p>
      <w:pPr>
        <w:kinsoku w:val="0"/>
        <w:overflowPunct w:val="0"/>
        <w:autoSpaceDE w:val="0"/>
        <w:autoSpaceDN w:val="0"/>
        <w:adjustRightInd w:val="0"/>
        <w:snapToGrid w:val="0"/>
        <w:spacing w:line="360" w:lineRule="auto"/>
        <w:rPr>
          <w:rFonts w:hint="eastAsia" w:ascii="黑体" w:hAnsi="黑体" w:eastAsia="黑体" w:cs="黑体"/>
          <w:sz w:val="32"/>
          <w:szCs w:val="32"/>
          <w:highlight w:val="yellow"/>
        </w:rPr>
      </w:pPr>
    </w:p>
    <w:sectPr>
      <w:pgSz w:w="11906" w:h="16838"/>
      <w:pgMar w:top="1440" w:right="1531" w:bottom="1440" w:left="1587" w:header="850"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0000000000000000000"/>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hruti">
    <w:panose1 w:val="020B0502040204020203"/>
    <w:charset w:val="00"/>
    <w:family w:val="auto"/>
    <w:pitch w:val="default"/>
    <w:sig w:usb0="00040003" w:usb1="00000000" w:usb2="00000000" w:usb3="00000000" w:csb0="00000001" w:csb1="00000000"/>
  </w:font>
  <w:font w:name="Arial Rounded MT Bold">
    <w:altName w:val="Arial"/>
    <w:panose1 w:val="020F0704030504030204"/>
    <w:charset w:val="00"/>
    <w:family w:val="auto"/>
    <w:pitch w:val="default"/>
    <w:sig w:usb0="00000000" w:usb1="00000000" w:usb2="00000000" w:usb3="00000000" w:csb0="20000001"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叶根友毛笔行书2.0版">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0pt;height:144pt;width:144pt;mso-position-horizontal:center;mso-position-horizontal-relative:margin;mso-wrap-style:none;z-index:2048;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9" o:spid="_x0000_s4099" o:spt="202" type="#_x0000_t202" style="position:absolute;left:0pt;margin-top:0pt;height:144pt;width:144pt;mso-position-horizontal:center;mso-position-horizontal-relative:margin;mso-wrap-style:none;z-index:3072;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94"/>
        <w:tab w:val="clear" w:pos="4153"/>
      </w:tabs>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- 6 -</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63019"/>
    <w:multiLevelType w:val="multilevel"/>
    <w:tmpl w:val="42463019"/>
    <w:lvl w:ilvl="0" w:tentative="0">
      <w:start w:val="2"/>
      <w:numFmt w:val="japaneseCounting"/>
      <w:lvlText w:val="%1、"/>
      <w:lvlJc w:val="left"/>
      <w:pPr>
        <w:ind w:left="1520" w:hanging="720"/>
      </w:pPr>
      <w:rPr>
        <w:rFonts w:hint="default" w:ascii="黑体" w:hAnsi="黑体" w:eastAsia="黑体" w:cs="黑体"/>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1">
    <w:nsid w:val="5971BE17"/>
    <w:multiLevelType w:val="singleLevel"/>
    <w:tmpl w:val="5971BE17"/>
    <w:lvl w:ilvl="0" w:tentative="0">
      <w:start w:val="1"/>
      <w:numFmt w:val="chineseCounting"/>
      <w:suff w:val="nothing"/>
      <w:lvlText w:val="%1、"/>
      <w:lvlJc w:val="left"/>
      <w:rPr>
        <w:rFonts w:cs="Times New Roman"/>
      </w:rPr>
    </w:lvl>
  </w:abstractNum>
  <w:abstractNum w:abstractNumId="2">
    <w:nsid w:val="5971BF59"/>
    <w:multiLevelType w:val="singleLevel"/>
    <w:tmpl w:val="5971BF59"/>
    <w:lvl w:ilvl="0" w:tentative="0">
      <w:start w:val="1"/>
      <w:numFmt w:val="chineseCounting"/>
      <w:suff w:val="nothing"/>
      <w:lvlText w:val="%1、"/>
      <w:lvlJc w:val="left"/>
      <w:pPr>
        <w:ind w:firstLine="420"/>
      </w:pPr>
      <w:rPr>
        <w:rFonts w:hint="eastAsia" w:cs="Times New Roman"/>
      </w:rPr>
    </w:lvl>
  </w:abstractNum>
  <w:abstractNum w:abstractNumId="3">
    <w:nsid w:val="5971DAC2"/>
    <w:multiLevelType w:val="singleLevel"/>
    <w:tmpl w:val="5971DAC2"/>
    <w:lvl w:ilvl="0" w:tentative="0">
      <w:start w:val="1"/>
      <w:numFmt w:val="chineseCounting"/>
      <w:suff w:val="nothing"/>
      <w:lvlText w:val="%1、"/>
      <w:lvlJc w:val="left"/>
      <w:pPr>
        <w:ind w:firstLine="420"/>
      </w:pPr>
      <w:rPr>
        <w:rFonts w:hint="eastAsia" w:cs="Times New Roman"/>
      </w:rPr>
    </w:lvl>
  </w:abstractNum>
  <w:abstractNum w:abstractNumId="4">
    <w:nsid w:val="5971DBDD"/>
    <w:multiLevelType w:val="singleLevel"/>
    <w:tmpl w:val="5971DBDD"/>
    <w:lvl w:ilvl="0" w:tentative="0">
      <w:start w:val="1"/>
      <w:numFmt w:val="chineseCounting"/>
      <w:suff w:val="nothing"/>
      <w:lvlText w:val="（%1）"/>
      <w:lvlJc w:val="left"/>
      <w:pPr>
        <w:ind w:firstLine="420"/>
      </w:pPr>
      <w:rPr>
        <w:rFonts w:hint="eastAsia" w:cs="Times New Roman"/>
      </w:rPr>
    </w:lvl>
  </w:abstractNum>
  <w:abstractNum w:abstractNumId="5">
    <w:nsid w:val="5971E093"/>
    <w:multiLevelType w:val="singleLevel"/>
    <w:tmpl w:val="5971E093"/>
    <w:lvl w:ilvl="0" w:tentative="0">
      <w:start w:val="1"/>
      <w:numFmt w:val="chineseCounting"/>
      <w:suff w:val="nothing"/>
      <w:lvlText w:val="（%1）"/>
      <w:lvlJc w:val="left"/>
      <w:pPr>
        <w:ind w:firstLine="420"/>
      </w:pPr>
      <w:rPr>
        <w:rFonts w:hint="eastAsia" w:cs="Times New Roman"/>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HorizontalSpacing w:val="210"/>
  <w:drawingGridVerticalSpacing w:val="159"/>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669B"/>
    <w:rsid w:val="000766B9"/>
    <w:rsid w:val="000B0426"/>
    <w:rsid w:val="000B5A03"/>
    <w:rsid w:val="001150B0"/>
    <w:rsid w:val="00131566"/>
    <w:rsid w:val="0015025E"/>
    <w:rsid w:val="00172A27"/>
    <w:rsid w:val="001F2065"/>
    <w:rsid w:val="002040C3"/>
    <w:rsid w:val="00212FCE"/>
    <w:rsid w:val="00271A47"/>
    <w:rsid w:val="002929B4"/>
    <w:rsid w:val="002C2FA0"/>
    <w:rsid w:val="00312699"/>
    <w:rsid w:val="00315C06"/>
    <w:rsid w:val="00375D53"/>
    <w:rsid w:val="003C5C44"/>
    <w:rsid w:val="003C71F1"/>
    <w:rsid w:val="00412358"/>
    <w:rsid w:val="00416710"/>
    <w:rsid w:val="00453911"/>
    <w:rsid w:val="004650A3"/>
    <w:rsid w:val="004D0973"/>
    <w:rsid w:val="005A2ECE"/>
    <w:rsid w:val="005F3E1B"/>
    <w:rsid w:val="00626EAB"/>
    <w:rsid w:val="00672087"/>
    <w:rsid w:val="00696A3D"/>
    <w:rsid w:val="00697ED5"/>
    <w:rsid w:val="006E4A3C"/>
    <w:rsid w:val="0073353E"/>
    <w:rsid w:val="00734C5B"/>
    <w:rsid w:val="00740368"/>
    <w:rsid w:val="00743858"/>
    <w:rsid w:val="00747219"/>
    <w:rsid w:val="00776722"/>
    <w:rsid w:val="0081711F"/>
    <w:rsid w:val="008A322C"/>
    <w:rsid w:val="008C2F8F"/>
    <w:rsid w:val="008D5DD9"/>
    <w:rsid w:val="008D6043"/>
    <w:rsid w:val="009108DE"/>
    <w:rsid w:val="00921737"/>
    <w:rsid w:val="009B3136"/>
    <w:rsid w:val="009E63B3"/>
    <w:rsid w:val="009F7594"/>
    <w:rsid w:val="00A33AED"/>
    <w:rsid w:val="00A91266"/>
    <w:rsid w:val="00A95322"/>
    <w:rsid w:val="00AD2DC2"/>
    <w:rsid w:val="00AF2C9C"/>
    <w:rsid w:val="00B101AB"/>
    <w:rsid w:val="00B11510"/>
    <w:rsid w:val="00B30054"/>
    <w:rsid w:val="00B41EDE"/>
    <w:rsid w:val="00B458CF"/>
    <w:rsid w:val="00B763B5"/>
    <w:rsid w:val="00BA37A0"/>
    <w:rsid w:val="00BB42E6"/>
    <w:rsid w:val="00C1163E"/>
    <w:rsid w:val="00CC5354"/>
    <w:rsid w:val="00CD392C"/>
    <w:rsid w:val="00CD71F9"/>
    <w:rsid w:val="00D9064D"/>
    <w:rsid w:val="00D949E3"/>
    <w:rsid w:val="00DA3D9C"/>
    <w:rsid w:val="00DD72D3"/>
    <w:rsid w:val="00DF554D"/>
    <w:rsid w:val="00E22A7C"/>
    <w:rsid w:val="00E32703"/>
    <w:rsid w:val="00E8139F"/>
    <w:rsid w:val="00EA43A8"/>
    <w:rsid w:val="00EC7934"/>
    <w:rsid w:val="00FF170B"/>
    <w:rsid w:val="00FF4400"/>
    <w:rsid w:val="011108CA"/>
    <w:rsid w:val="04453648"/>
    <w:rsid w:val="051F0D36"/>
    <w:rsid w:val="05DB00B9"/>
    <w:rsid w:val="06F1502E"/>
    <w:rsid w:val="09BB2134"/>
    <w:rsid w:val="0CA434B9"/>
    <w:rsid w:val="0E4C156E"/>
    <w:rsid w:val="10BD4691"/>
    <w:rsid w:val="10CE7BAE"/>
    <w:rsid w:val="10F31493"/>
    <w:rsid w:val="11585E8B"/>
    <w:rsid w:val="12BB23DD"/>
    <w:rsid w:val="15492582"/>
    <w:rsid w:val="18F44D57"/>
    <w:rsid w:val="1BEF0D02"/>
    <w:rsid w:val="1D415527"/>
    <w:rsid w:val="1E7D3B34"/>
    <w:rsid w:val="1F13352E"/>
    <w:rsid w:val="22A51050"/>
    <w:rsid w:val="26610030"/>
    <w:rsid w:val="280931BA"/>
    <w:rsid w:val="283D43BA"/>
    <w:rsid w:val="29B70F08"/>
    <w:rsid w:val="2BA4769A"/>
    <w:rsid w:val="2CD06EF4"/>
    <w:rsid w:val="2CE461FA"/>
    <w:rsid w:val="2D7670E1"/>
    <w:rsid w:val="2F335194"/>
    <w:rsid w:val="304959CF"/>
    <w:rsid w:val="30963758"/>
    <w:rsid w:val="31F530CA"/>
    <w:rsid w:val="32EF40CE"/>
    <w:rsid w:val="34920D5F"/>
    <w:rsid w:val="35817A75"/>
    <w:rsid w:val="35AB7798"/>
    <w:rsid w:val="372974AC"/>
    <w:rsid w:val="37515EC2"/>
    <w:rsid w:val="38C1300F"/>
    <w:rsid w:val="3949702E"/>
    <w:rsid w:val="3BE408BA"/>
    <w:rsid w:val="3C7F703B"/>
    <w:rsid w:val="3D70189E"/>
    <w:rsid w:val="42271DDB"/>
    <w:rsid w:val="43910C0D"/>
    <w:rsid w:val="45B92A81"/>
    <w:rsid w:val="483E7CB8"/>
    <w:rsid w:val="48B52937"/>
    <w:rsid w:val="48EE3EF3"/>
    <w:rsid w:val="499F4D54"/>
    <w:rsid w:val="4C1E2F28"/>
    <w:rsid w:val="4CFC29CC"/>
    <w:rsid w:val="4D561DEF"/>
    <w:rsid w:val="4D6E1856"/>
    <w:rsid w:val="502C04C1"/>
    <w:rsid w:val="51DE24AB"/>
    <w:rsid w:val="5271706C"/>
    <w:rsid w:val="5651051D"/>
    <w:rsid w:val="56EC004A"/>
    <w:rsid w:val="57E961A8"/>
    <w:rsid w:val="581E77CF"/>
    <w:rsid w:val="589E4790"/>
    <w:rsid w:val="58B06254"/>
    <w:rsid w:val="5AF25131"/>
    <w:rsid w:val="600176AC"/>
    <w:rsid w:val="65332BB8"/>
    <w:rsid w:val="664A46E0"/>
    <w:rsid w:val="66755D81"/>
    <w:rsid w:val="68A121F7"/>
    <w:rsid w:val="68A9241E"/>
    <w:rsid w:val="6B6D695A"/>
    <w:rsid w:val="6FD41D7F"/>
    <w:rsid w:val="72416639"/>
    <w:rsid w:val="738C1FE2"/>
    <w:rsid w:val="75531EF6"/>
    <w:rsid w:val="759501E3"/>
    <w:rsid w:val="75D0003D"/>
    <w:rsid w:val="764844F6"/>
    <w:rsid w:val="764F7877"/>
    <w:rsid w:val="7AA141FF"/>
    <w:rsid w:val="7B261066"/>
    <w:rsid w:val="7B9477DB"/>
    <w:rsid w:val="7C445B57"/>
    <w:rsid w:val="7D713C1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basedOn w:val="4"/>
    <w:link w:val="2"/>
    <w:semiHidden/>
    <w:qFormat/>
    <w:locked/>
    <w:uiPriority w:val="99"/>
    <w:rPr>
      <w:rFonts w:ascii="Calibri" w:hAnsi="Calibri" w:cs="Times New Roman"/>
      <w:sz w:val="18"/>
      <w:szCs w:val="18"/>
    </w:rPr>
  </w:style>
  <w:style w:type="character" w:customStyle="1" w:styleId="7">
    <w:name w:val="页眉 Char"/>
    <w:basedOn w:val="4"/>
    <w:link w:val="3"/>
    <w:semiHidden/>
    <w:qFormat/>
    <w:locked/>
    <w:uiPriority w:val="99"/>
    <w:rPr>
      <w:rFonts w:ascii="Calibri" w:hAnsi="Calibri" w:cs="Times New Roman"/>
      <w:sz w:val="18"/>
      <w:szCs w:val="18"/>
    </w:rPr>
  </w:style>
  <w:style w:type="character" w:customStyle="1" w:styleId="8">
    <w:name w:val="font31"/>
    <w:basedOn w:val="4"/>
    <w:qFormat/>
    <w:uiPriority w:val="99"/>
    <w:rPr>
      <w:rFonts w:ascii="Arial" w:hAnsi="Arial" w:cs="Arial"/>
      <w:color w:val="000000"/>
      <w:sz w:val="16"/>
      <w:szCs w:val="16"/>
      <w:u w:val="none"/>
    </w:rPr>
  </w:style>
  <w:style w:type="character" w:customStyle="1" w:styleId="9">
    <w:name w:val="font01"/>
    <w:basedOn w:val="4"/>
    <w:qFormat/>
    <w:uiPriority w:val="99"/>
    <w:rPr>
      <w:rFonts w:ascii="Arial" w:hAnsi="Arial" w:cs="Arial"/>
      <w:color w:val="000000"/>
      <w:sz w:val="16"/>
      <w:szCs w:val="16"/>
      <w:u w:val="none"/>
    </w:rPr>
  </w:style>
  <w:style w:type="character" w:customStyle="1" w:styleId="10">
    <w:name w:val="font41"/>
    <w:basedOn w:val="4"/>
    <w:qFormat/>
    <w:uiPriority w:val="99"/>
    <w:rPr>
      <w:rFonts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8" textRotate="1"/>
    <customShpInfo spid="_x0000_s4099" textRotate="1"/>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1418</Words>
  <Characters>8086</Characters>
  <Lines>67</Lines>
  <Paragraphs>18</Paragraphs>
  <ScaleCrop>false</ScaleCrop>
  <LinksUpToDate>false</LinksUpToDate>
  <CharactersWithSpaces>9486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Administrator</cp:lastModifiedBy>
  <cp:lastPrinted>2017-09-27T07:37:00Z</cp:lastPrinted>
  <dcterms:modified xsi:type="dcterms:W3CDTF">2017-09-27T09:14:53Z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