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仿宋_GB2312" w:hAnsi="仿宋_GB2312" w:eastAsia="仿宋_GB2312" w:cs="仿宋_GB2312"/>
          <w:sz w:val="44"/>
          <w:szCs w:val="44"/>
          <w:lang w:eastAsia="zh-CN"/>
        </w:rPr>
      </w:pPr>
    </w:p>
    <w:p>
      <w:pPr>
        <w:jc w:val="center"/>
        <w:rPr>
          <w:rFonts w:ascii="黑体" w:hAnsi="黑体" w:eastAsia="黑体" w:cs="黑体"/>
          <w:sz w:val="52"/>
          <w:szCs w:val="52"/>
        </w:rPr>
      </w:pPr>
      <w:r>
        <w:rPr>
          <w:rFonts w:hint="eastAsia" w:ascii="黑体" w:hAnsi="黑体" w:eastAsia="黑体" w:cs="黑体"/>
          <w:sz w:val="52"/>
          <w:szCs w:val="52"/>
          <w:lang w:eastAsia="zh-CN"/>
        </w:rPr>
        <w:t>平顶山市食品药品监督管理局（本级）</w:t>
      </w:r>
    </w:p>
    <w:p>
      <w:pPr>
        <w:jc w:val="center"/>
        <w:rPr>
          <w:rFonts w:ascii="隶书" w:hAnsi="隶书" w:eastAsia="隶书" w:cs="隶书"/>
          <w:sz w:val="52"/>
          <w:szCs w:val="52"/>
        </w:rPr>
        <w:sectPr>
          <w:headerReference r:id="rId5" w:type="first"/>
          <w:headerReference r:id="rId3" w:type="default"/>
          <w:footerReference r:id="rId6" w:type="default"/>
          <w:headerReference r:id="rId4" w:type="even"/>
          <w:footerReference r:id="rId7"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0" w:num="1"/>
          <w:docGrid w:type="lines" w:linePitch="317" w:charSpace="0"/>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平顶山市食品药品监督管理局（本级）</w:t>
      </w:r>
      <w:r>
        <w:rPr>
          <w:rFonts w:hint="eastAsia" w:ascii="黑体" w:hAnsi="黑体" w:eastAsia="黑体" w:cs="黑体"/>
          <w:sz w:val="32"/>
          <w:szCs w:val="32"/>
        </w:rPr>
        <w:t>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平顶山市食品药品监督管理局（本级）</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平顶山市食品药品监督管理局（本级）</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ascii="黑体" w:hAnsi="黑体" w:eastAsia="黑体" w:cs="黑体"/>
          <w:sz w:val="32"/>
          <w:szCs w:val="32"/>
        </w:rPr>
        <w:sectPr>
          <w:footerReference r:id="rId8" w:type="default"/>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9" w:type="default"/>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0" w:num="1"/>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eastAsia="zh-CN"/>
        </w:rPr>
        <w:t>平顶山市食品药品监督管理局（本级）</w:t>
      </w:r>
      <w:r>
        <w:rPr>
          <w:rFonts w:hint="eastAsia" w:ascii="隶书" w:hAnsi="隶书" w:eastAsia="隶书" w:cs="隶书"/>
          <w:sz w:val="48"/>
          <w:szCs w:val="48"/>
        </w:rPr>
        <w:t>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numPr>
          <w:ilvl w:val="0"/>
          <w:numId w:val="3"/>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贯彻执行国家食品(含食品添加剂、保健食品，下同)安全、药品(含中药、民族药，下同)、医疗器械、化妆品监督管理法律、法规。拟</w:t>
      </w:r>
      <w:r>
        <w:rPr>
          <w:rFonts w:hint="eastAsia" w:ascii="仿宋" w:hAnsi="仿宋" w:eastAsia="仿宋" w:cs="仿宋"/>
          <w:sz w:val="32"/>
          <w:szCs w:val="32"/>
          <w:lang w:val="en-US" w:eastAsia="zh-CN"/>
        </w:rPr>
        <w:t>订</w:t>
      </w:r>
      <w:r>
        <w:rPr>
          <w:rFonts w:hint="eastAsia" w:ascii="仿宋" w:hAnsi="仿宋" w:eastAsia="仿宋" w:cs="仿宋"/>
          <w:sz w:val="32"/>
          <w:szCs w:val="32"/>
        </w:rPr>
        <w:t>并组织实施全市食品、药品、医疗器械、化妆品安全规划和地方性食品安全管理办法、规定和监管程序、操作规程等规范性文件。推动建立落实食品药品安全企业主体责任、各级政府负总责的机制，建立食品药品重大信息直报制度并组织实施和监督检查，着力防范区域性、系统性食品药品安全风险</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依法组织实施食品行政许可和质量安全监督管理，建立食品安全隐患排查治理机制，制定全市食品安全检查年度计划、重大整顿治理方案并组织落实。建立并组织实施食品药品安全信息统一发布制度，公布重大食品安全信息。参与制定食品安全风险监测计划，根据食品安全风险监测计划参与食品安全风险监测工作</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监督实施药品和医疗器械标准、分类管理制度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药品、医疗器械研制、生产、流通和使用质量安全监管。负责第三类医疗器械行政许可。负责第一类医疗器械生产和第二类医疗器械经营备案。建立药品不良反应、医疗器械不良事件监测体系，并开展监测和处置工作。根据化妆品监督管理办法组织实施化妆品监督管理。</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负责制定食品药品监督管理的稽查制度并组织实施，组织查处重大违法行为。建立问题产品召回和处置制度并监督实施</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负责食品药品安全事故应急体系建设，组织和指导食品药品安全事故应急处置和调查处理工作，监督事故查处落实情况</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负责制定食品药品安全科技发展规划并组织实施，推动食品药品检验检测体系、电子监管追溯体系和信息化建设</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负责开展食品药品安全宣传、教育培训、对外交流与合作。推进诚信体系建设</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指导各县(市、区)食品药品监督管理工作，负责市城乡一体化示范区、高新技术产业开发区食品药品监督管理工作，规范行政执法行为，完善行政执法与刑事司法衔接机制</w:t>
      </w:r>
      <w:r>
        <w:rPr>
          <w:rFonts w:hint="eastAsia" w:ascii="仿宋" w:hAnsi="仿宋" w:eastAsia="仿宋" w:cs="仿宋"/>
          <w:sz w:val="32"/>
          <w:szCs w:val="32"/>
          <w:lang w:eastAsia="zh-CN"/>
        </w:rPr>
        <w:t>。</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承担市政府食品安全委员会日常工作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负责食品安全监督管理协调，推动健全协调联动机制。督促检查各县（市、区）政府履行食品安全监督职责并负责考核评价。</w:t>
      </w:r>
    </w:p>
    <w:p>
      <w:pPr>
        <w:numPr>
          <w:ilvl w:val="0"/>
          <w:numId w:val="3"/>
        </w:numPr>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rPr>
        <w:t>承</w:t>
      </w:r>
      <w:r>
        <w:rPr>
          <w:rFonts w:hint="eastAsia" w:ascii="仿宋" w:hAnsi="仿宋" w:eastAsia="仿宋" w:cs="仿宋"/>
          <w:sz w:val="32"/>
          <w:szCs w:val="32"/>
          <w:lang w:val="en-US" w:eastAsia="zh-CN"/>
        </w:rPr>
        <w:t>办</w:t>
      </w:r>
      <w:r>
        <w:rPr>
          <w:rFonts w:hint="eastAsia" w:ascii="仿宋" w:hAnsi="仿宋" w:eastAsia="仿宋" w:cs="仿宋"/>
          <w:sz w:val="32"/>
          <w:szCs w:val="32"/>
        </w:rPr>
        <w:t>市政府及市政府食品安全委员会交办的其他事项。</w:t>
      </w:r>
      <w:r>
        <w:rPr>
          <w:rFonts w:hint="eastAsia" w:ascii="仿宋" w:hAnsi="仿宋" w:eastAsia="仿宋" w:cs="仿宋"/>
          <w:sz w:val="32"/>
          <w:szCs w:val="32"/>
          <w:lang w:val="en-US" w:eastAsia="zh-CN"/>
        </w:rPr>
        <w:t xml:space="preserve">   </w:t>
      </w:r>
    </w:p>
    <w:p>
      <w:pPr>
        <w:numPr>
          <w:ilvl w:val="0"/>
          <w:numId w:val="4"/>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纳入</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年度部门决算编制范围的单位包括</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平顶山市食品药品监督管理局（本级）。</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平顶山市食品药品监督管理局（本级）</w:t>
      </w:r>
    </w:p>
    <w:p>
      <w:pPr>
        <w:jc w:val="center"/>
        <w:rPr>
          <w:rFonts w:ascii="隶书" w:hAnsi="隶书" w:eastAsia="隶书" w:cs="隶书"/>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7"/>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1,095.2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26.2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1,002.3</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1,121.4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1,679.0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1,598.0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1,040.3</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2,719.3</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2,719.3</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7"/>
        <w:tblW w:w="10427" w:type="dxa"/>
        <w:tblInd w:w="-827" w:type="dxa"/>
        <w:tblLayout w:type="fixed"/>
        <w:tblCellMar>
          <w:top w:w="15" w:type="dxa"/>
          <w:left w:w="15" w:type="dxa"/>
          <w:bottom w:w="15" w:type="dxa"/>
          <w:right w:w="15" w:type="dxa"/>
        </w:tblCellMar>
      </w:tblPr>
      <w:tblGrid>
        <w:gridCol w:w="768"/>
        <w:gridCol w:w="120"/>
        <w:gridCol w:w="749"/>
        <w:gridCol w:w="1816"/>
        <w:gridCol w:w="1350"/>
        <w:gridCol w:w="734"/>
        <w:gridCol w:w="691"/>
        <w:gridCol w:w="555"/>
        <w:gridCol w:w="674"/>
        <w:gridCol w:w="960"/>
        <w:gridCol w:w="960"/>
        <w:gridCol w:w="960"/>
        <w:gridCol w:w="90"/>
      </w:tblGrid>
      <w:tr>
        <w:tblPrEx>
          <w:tblLayout w:type="fixed"/>
          <w:tblCellMar>
            <w:top w:w="15" w:type="dxa"/>
            <w:left w:w="15" w:type="dxa"/>
            <w:bottom w:w="15" w:type="dxa"/>
            <w:right w:w="15" w:type="dxa"/>
          </w:tblCellMar>
        </w:tblPrEx>
        <w:trPr>
          <w:gridAfter w:val="1"/>
          <w:wAfter w:w="90" w:type="dxa"/>
          <w:trHeight w:val="375" w:hRule="atLeast"/>
        </w:trPr>
        <w:tc>
          <w:tcPr>
            <w:tcW w:w="10337" w:type="dxa"/>
            <w:gridSpan w:val="12"/>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gridAfter w:val="1"/>
          <w:wAfter w:w="90" w:type="dxa"/>
          <w:trHeight w:val="285" w:hRule="atLeast"/>
        </w:trPr>
        <w:tc>
          <w:tcPr>
            <w:tcW w:w="1637" w:type="dxa"/>
            <w:gridSpan w:val="3"/>
            <w:vAlign w:val="center"/>
          </w:tcPr>
          <w:p>
            <w:pPr>
              <w:rPr>
                <w:rFonts w:ascii="宋体" w:cs="宋体"/>
                <w:color w:val="000000"/>
                <w:sz w:val="16"/>
                <w:szCs w:val="16"/>
              </w:rPr>
            </w:pPr>
          </w:p>
        </w:tc>
        <w:tc>
          <w:tcPr>
            <w:tcW w:w="1816" w:type="dxa"/>
            <w:vAlign w:val="center"/>
          </w:tcPr>
          <w:p>
            <w:pPr>
              <w:rPr>
                <w:rFonts w:ascii="宋体" w:cs="宋体"/>
                <w:color w:val="000000"/>
                <w:sz w:val="16"/>
                <w:szCs w:val="16"/>
              </w:rPr>
            </w:pPr>
          </w:p>
        </w:tc>
        <w:tc>
          <w:tcPr>
            <w:tcW w:w="1350" w:type="dxa"/>
            <w:vAlign w:val="center"/>
          </w:tcPr>
          <w:p>
            <w:pPr>
              <w:rPr>
                <w:rFonts w:ascii="宋体" w:cs="宋体"/>
                <w:color w:val="000000"/>
                <w:sz w:val="16"/>
                <w:szCs w:val="16"/>
              </w:rPr>
            </w:pPr>
          </w:p>
        </w:tc>
        <w:tc>
          <w:tcPr>
            <w:tcW w:w="734" w:type="dxa"/>
            <w:vAlign w:val="center"/>
          </w:tcPr>
          <w:p>
            <w:pPr>
              <w:rPr>
                <w:rFonts w:ascii="宋体" w:cs="宋体"/>
                <w:color w:val="000000"/>
                <w:sz w:val="16"/>
                <w:szCs w:val="16"/>
              </w:rPr>
            </w:pPr>
          </w:p>
        </w:tc>
        <w:tc>
          <w:tcPr>
            <w:tcW w:w="691" w:type="dxa"/>
            <w:vAlign w:val="center"/>
          </w:tcPr>
          <w:p>
            <w:pPr>
              <w:rPr>
                <w:rFonts w:ascii="宋体" w:cs="宋体"/>
                <w:color w:val="000000"/>
                <w:sz w:val="16"/>
                <w:szCs w:val="16"/>
              </w:rPr>
            </w:pPr>
          </w:p>
        </w:tc>
        <w:tc>
          <w:tcPr>
            <w:tcW w:w="1229"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gridAfter w:val="1"/>
          <w:wAfter w:w="90" w:type="dxa"/>
          <w:trHeight w:val="270" w:hRule="atLeast"/>
        </w:trPr>
        <w:tc>
          <w:tcPr>
            <w:tcW w:w="1637" w:type="dxa"/>
            <w:gridSpan w:val="3"/>
            <w:vAlign w:val="center"/>
          </w:tcPr>
          <w:p>
            <w:pPr>
              <w:rPr>
                <w:rFonts w:ascii="宋体" w:cs="宋体"/>
                <w:color w:val="000000"/>
                <w:sz w:val="16"/>
                <w:szCs w:val="16"/>
              </w:rPr>
            </w:pPr>
          </w:p>
        </w:tc>
        <w:tc>
          <w:tcPr>
            <w:tcW w:w="1816" w:type="dxa"/>
            <w:vAlign w:val="center"/>
          </w:tcPr>
          <w:p>
            <w:pPr>
              <w:rPr>
                <w:rFonts w:ascii="宋体" w:cs="宋体"/>
                <w:color w:val="000000"/>
                <w:sz w:val="16"/>
                <w:szCs w:val="16"/>
              </w:rPr>
            </w:pPr>
          </w:p>
        </w:tc>
        <w:tc>
          <w:tcPr>
            <w:tcW w:w="1350" w:type="dxa"/>
            <w:vAlign w:val="center"/>
          </w:tcPr>
          <w:p>
            <w:pPr>
              <w:rPr>
                <w:rFonts w:ascii="宋体" w:cs="宋体"/>
                <w:color w:val="000000"/>
                <w:sz w:val="16"/>
                <w:szCs w:val="16"/>
              </w:rPr>
            </w:pPr>
          </w:p>
        </w:tc>
        <w:tc>
          <w:tcPr>
            <w:tcW w:w="734" w:type="dxa"/>
            <w:vAlign w:val="center"/>
          </w:tcPr>
          <w:p>
            <w:pPr>
              <w:rPr>
                <w:rFonts w:ascii="宋体" w:cs="宋体"/>
                <w:color w:val="000000"/>
                <w:sz w:val="16"/>
                <w:szCs w:val="16"/>
              </w:rPr>
            </w:pPr>
          </w:p>
        </w:tc>
        <w:tc>
          <w:tcPr>
            <w:tcW w:w="691" w:type="dxa"/>
            <w:vAlign w:val="center"/>
          </w:tcPr>
          <w:p>
            <w:pPr>
              <w:rPr>
                <w:rFonts w:ascii="宋体" w:cs="宋体"/>
                <w:color w:val="000000"/>
                <w:sz w:val="16"/>
                <w:szCs w:val="16"/>
              </w:rPr>
            </w:pPr>
          </w:p>
        </w:tc>
        <w:tc>
          <w:tcPr>
            <w:tcW w:w="1229"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453"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35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42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555"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67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9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9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05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76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35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2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555"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67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453"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3453"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1,121.4</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1,095.2</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26.2</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208</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20805</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2080501</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36.4</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210</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医疗卫生与计划生育支出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1,054.2</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1,028.0</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26.2</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21004</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公共卫生</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49.1</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49.1</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2100499</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49.1</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49.1</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21005</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医疗保障</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32.3</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32.3</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2100501</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32.3</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32.3</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食品和药品监督管理事务</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972.8</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946.6</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26.2</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2101001</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458.0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457.7</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0.2</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2101014</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化妆品事务</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20.0</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2101015</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医疗器械事务</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60.0</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2101016</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食品安全事务</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363.2</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363.2</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2101099</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其他食品和药品监督管理事务支出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71.7</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45.7</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26.0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住房保障支出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22102</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住房改革支出</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20" w:hRule="atLeast"/>
        </w:trPr>
        <w:tc>
          <w:tcPr>
            <w:tcW w:w="888"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2210201</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住房公积金</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50"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10427" w:type="dxa"/>
            <w:gridSpan w:val="13"/>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tbl>
      <w:tblPr>
        <w:tblStyle w:val="7"/>
        <w:tblW w:w="10350" w:type="dxa"/>
        <w:tblInd w:w="-821" w:type="dxa"/>
        <w:tblLayout w:type="fixed"/>
        <w:tblCellMar>
          <w:top w:w="15" w:type="dxa"/>
          <w:left w:w="15" w:type="dxa"/>
          <w:bottom w:w="15" w:type="dxa"/>
          <w:right w:w="15" w:type="dxa"/>
        </w:tblCellMar>
      </w:tblPr>
      <w:tblGrid>
        <w:gridCol w:w="735"/>
        <w:gridCol w:w="267"/>
        <w:gridCol w:w="480"/>
        <w:gridCol w:w="2355"/>
        <w:gridCol w:w="325"/>
        <w:gridCol w:w="830"/>
        <w:gridCol w:w="169"/>
        <w:gridCol w:w="999"/>
        <w:gridCol w:w="152"/>
        <w:gridCol w:w="1335"/>
        <w:gridCol w:w="511"/>
        <w:gridCol w:w="299"/>
        <w:gridCol w:w="990"/>
        <w:gridCol w:w="903"/>
      </w:tblGrid>
      <w:tr>
        <w:tblPrEx>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vAlign w:val="center"/>
          </w:tcPr>
          <w:p>
            <w:pPr>
              <w:rPr>
                <w:rFonts w:ascii="宋体" w:cs="宋体"/>
                <w:color w:val="000000"/>
                <w:sz w:val="16"/>
                <w:szCs w:val="16"/>
              </w:rPr>
            </w:pPr>
          </w:p>
        </w:tc>
        <w:tc>
          <w:tcPr>
            <w:tcW w:w="2355" w:type="dxa"/>
            <w:vAlign w:val="center"/>
          </w:tcPr>
          <w:p>
            <w:pPr>
              <w:rPr>
                <w:rFonts w:ascii="宋体" w:cs="宋体"/>
                <w:color w:val="000000"/>
                <w:sz w:val="16"/>
                <w:szCs w:val="16"/>
              </w:rPr>
            </w:pPr>
          </w:p>
        </w:tc>
        <w:tc>
          <w:tcPr>
            <w:tcW w:w="32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vAlign w:val="center"/>
          </w:tcPr>
          <w:p>
            <w:pPr>
              <w:rPr>
                <w:rFonts w:ascii="宋体" w:cs="宋体"/>
                <w:color w:val="000000"/>
                <w:sz w:val="16"/>
                <w:szCs w:val="16"/>
              </w:rPr>
            </w:pPr>
          </w:p>
        </w:tc>
        <w:tc>
          <w:tcPr>
            <w:tcW w:w="1487" w:type="dxa"/>
            <w:gridSpan w:val="2"/>
            <w:vAlign w:val="center"/>
          </w:tcPr>
          <w:p>
            <w:pPr>
              <w:rPr>
                <w:rFonts w:ascii="宋体" w:cs="宋体"/>
                <w:color w:val="000000"/>
                <w:sz w:val="16"/>
                <w:szCs w:val="16"/>
              </w:rPr>
            </w:pPr>
          </w:p>
        </w:tc>
        <w:tc>
          <w:tcPr>
            <w:tcW w:w="511" w:type="dxa"/>
            <w:vAlign w:val="center"/>
          </w:tcPr>
          <w:p>
            <w:pPr>
              <w:rPr>
                <w:rFonts w:ascii="宋体" w:cs="宋体"/>
                <w:color w:val="000000"/>
                <w:sz w:val="16"/>
                <w:szCs w:val="16"/>
              </w:rPr>
            </w:pPr>
          </w:p>
        </w:tc>
        <w:tc>
          <w:tcPr>
            <w:tcW w:w="2192"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2" w:type="dxa"/>
            <w:gridSpan w:val="3"/>
            <w:vAlign w:val="center"/>
          </w:tcPr>
          <w:p>
            <w:pPr>
              <w:rPr>
                <w:rFonts w:ascii="宋体" w:cs="宋体"/>
                <w:color w:val="000000"/>
                <w:sz w:val="16"/>
                <w:szCs w:val="16"/>
              </w:rPr>
            </w:pPr>
          </w:p>
        </w:tc>
        <w:tc>
          <w:tcPr>
            <w:tcW w:w="2355" w:type="dxa"/>
            <w:vAlign w:val="center"/>
          </w:tcPr>
          <w:p>
            <w:pPr>
              <w:rPr>
                <w:rFonts w:ascii="宋体" w:cs="宋体"/>
                <w:color w:val="000000"/>
                <w:sz w:val="16"/>
                <w:szCs w:val="16"/>
              </w:rPr>
            </w:pPr>
          </w:p>
        </w:tc>
        <w:tc>
          <w:tcPr>
            <w:tcW w:w="32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vAlign w:val="center"/>
          </w:tcPr>
          <w:p>
            <w:pPr>
              <w:rPr>
                <w:rFonts w:ascii="宋体" w:cs="宋体"/>
                <w:color w:val="000000"/>
                <w:sz w:val="16"/>
                <w:szCs w:val="16"/>
              </w:rPr>
            </w:pPr>
          </w:p>
        </w:tc>
        <w:tc>
          <w:tcPr>
            <w:tcW w:w="1487" w:type="dxa"/>
            <w:gridSpan w:val="2"/>
            <w:vAlign w:val="center"/>
          </w:tcPr>
          <w:p>
            <w:pPr>
              <w:rPr>
                <w:rFonts w:ascii="宋体" w:cs="宋体"/>
                <w:color w:val="000000"/>
                <w:sz w:val="16"/>
                <w:szCs w:val="16"/>
              </w:rPr>
            </w:pPr>
          </w:p>
        </w:tc>
        <w:tc>
          <w:tcPr>
            <w:tcW w:w="511" w:type="dxa"/>
            <w:vAlign w:val="center"/>
          </w:tcPr>
          <w:p>
            <w:pPr>
              <w:rPr>
                <w:rFonts w:ascii="宋体" w:cs="宋体"/>
                <w:color w:val="000000"/>
                <w:sz w:val="16"/>
                <w:szCs w:val="16"/>
              </w:rPr>
            </w:pPr>
          </w:p>
        </w:tc>
        <w:tc>
          <w:tcPr>
            <w:tcW w:w="2192"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837"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15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32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335"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81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99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903"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31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15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20"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35"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1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9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03"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837"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837"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1,679.0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504.3</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1,174.7</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201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一般公共服务支出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20117</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质量技术监督与检验检疫事务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2011799</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其他质量技术监督与检验检疫事务支出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208</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20805</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医疗卫生与计划生育支出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1,002.3</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440.7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561.6</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21004</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公共卫生</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2100499</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21005</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医疗保障</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2100501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食品和药品监督管理事务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870.3</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463.6</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2101001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406.7</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2101014</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化妆品事务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2101015</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医疗器械事务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60.0</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2101016</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食品安全事务</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354.9</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354.9</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2101099</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其他食品和药品监督管理事务支出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28.7</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28.7</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002"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0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r>
        <w:tblPrEx>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hint="eastAsia" w:ascii="宋体" w:hAnsi="宋体" w:cs="宋体"/>
                <w:color w:val="000000"/>
                <w:kern w:val="0"/>
                <w:sz w:val="16"/>
                <w:szCs w:val="16"/>
              </w:rPr>
            </w:pP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Borders>
            <w:top w:val="none" w:sz="0" w:space="0"/>
            <w:left w:val="none" w:sz="0" w:space="0"/>
            <w:bottom w:val="none" w:sz="0" w:space="0"/>
            <w:right w:val="none" w:sz="0" w:space="0"/>
          </w:pgBorders>
          <w:pgNumType w:fmt="numberInDash"/>
          <w:cols w:space="0" w:num="1"/>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1,095.2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987.8</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987.8</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30.8</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1,095.2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1,664.5</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1,664.5</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1,596.6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1,027.3</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1,027.3</w:t>
            </w:r>
          </w:p>
        </w:tc>
        <w:tc>
          <w:tcPr>
            <w:tcW w:w="130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1,596.6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2,691.8</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2,691.8</w:t>
            </w:r>
          </w:p>
        </w:tc>
        <w:tc>
          <w:tcPr>
            <w:tcW w:w="130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2,691.8</w:t>
            </w:r>
          </w:p>
        </w:tc>
        <w:tc>
          <w:tcPr>
            <w:tcW w:w="1300"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1,664.5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504.1</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1,160.4</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613.0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20117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质量技术监督与检验检疫事务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613.0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2011799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其他质量技术监督与检验检疫事务支出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613.0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613.0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32.8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987.8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440.5</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547.3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公共卫生</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2100499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行政单位医疗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34.1</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食品和药品监督管理事务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855.8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406.4</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449.3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406.4</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化妆品事务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医疗器械事务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60.0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2101016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食品安全事务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354.9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354.9</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2101099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其他食品和药品监督管理事务支出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14.4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14.4</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住房保障支出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住房改革支出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2210201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住房公积金</w:t>
            </w:r>
          </w:p>
        </w:tc>
        <w:tc>
          <w:tcPr>
            <w:tcW w:w="2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30.8</w:t>
            </w:r>
          </w:p>
        </w:tc>
        <w:tc>
          <w:tcPr>
            <w:tcW w:w="2251"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tbl>
      <w:tblPr>
        <w:tblStyle w:val="7"/>
        <w:tblW w:w="10485" w:type="dxa"/>
        <w:tblInd w:w="-896" w:type="dxa"/>
        <w:shd w:val="clear" w:color="auto" w:fill="FFFFFF"/>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shd w:val="clear" w:color="auto" w:fill="FFFFFF"/>
          <w:tblLayout w:type="fixed"/>
          <w:tblCellMar>
            <w:top w:w="15" w:type="dxa"/>
            <w:left w:w="15" w:type="dxa"/>
            <w:bottom w:w="15" w:type="dxa"/>
            <w:right w:w="15" w:type="dxa"/>
          </w:tblCellMar>
        </w:tblPrEx>
        <w:trPr>
          <w:trHeight w:val="375" w:hRule="atLeast"/>
        </w:trPr>
        <w:tc>
          <w:tcPr>
            <w:tcW w:w="10485" w:type="dxa"/>
            <w:gridSpan w:val="9"/>
            <w:shd w:val="clear" w:color="auto" w:fill="FFFFFF"/>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shd w:val="clear" w:color="auto" w:fill="FFFFFF"/>
          <w:tblLayout w:type="fixed"/>
          <w:tblCellMar>
            <w:top w:w="15" w:type="dxa"/>
            <w:left w:w="15" w:type="dxa"/>
            <w:bottom w:w="15" w:type="dxa"/>
            <w:right w:w="15" w:type="dxa"/>
          </w:tblCellMar>
        </w:tblPrEx>
        <w:trPr>
          <w:trHeight w:val="285" w:hRule="atLeast"/>
        </w:trPr>
        <w:tc>
          <w:tcPr>
            <w:tcW w:w="1650" w:type="dxa"/>
            <w:gridSpan w:val="2"/>
            <w:shd w:val="clear" w:color="auto" w:fill="FFFFFF"/>
            <w:vAlign w:val="center"/>
          </w:tcPr>
          <w:p>
            <w:pPr>
              <w:rPr>
                <w:rFonts w:ascii="宋体" w:cs="宋体"/>
                <w:color w:val="000000"/>
                <w:sz w:val="16"/>
                <w:szCs w:val="16"/>
              </w:rPr>
            </w:pPr>
          </w:p>
        </w:tc>
        <w:tc>
          <w:tcPr>
            <w:tcW w:w="1794" w:type="dxa"/>
            <w:shd w:val="clear" w:color="auto" w:fill="FFFFFF"/>
            <w:vAlign w:val="center"/>
          </w:tcPr>
          <w:p>
            <w:pPr>
              <w:rPr>
                <w:rFonts w:ascii="宋体" w:cs="宋体"/>
                <w:color w:val="000000"/>
                <w:sz w:val="16"/>
                <w:szCs w:val="16"/>
              </w:rPr>
            </w:pPr>
          </w:p>
        </w:tc>
        <w:tc>
          <w:tcPr>
            <w:tcW w:w="1620" w:type="dxa"/>
            <w:shd w:val="clear" w:color="auto" w:fill="FFFFFF"/>
            <w:vAlign w:val="center"/>
          </w:tcPr>
          <w:p>
            <w:pPr>
              <w:rPr>
                <w:rFonts w:ascii="宋体" w:cs="宋体"/>
                <w:color w:val="000000"/>
                <w:sz w:val="16"/>
                <w:szCs w:val="16"/>
              </w:rPr>
            </w:pPr>
          </w:p>
        </w:tc>
        <w:tc>
          <w:tcPr>
            <w:tcW w:w="754" w:type="dxa"/>
            <w:shd w:val="clear" w:color="auto" w:fill="FFFFFF"/>
            <w:vAlign w:val="center"/>
          </w:tcPr>
          <w:p>
            <w:pPr>
              <w:rPr>
                <w:rFonts w:ascii="宋体" w:cs="宋体"/>
                <w:color w:val="000000"/>
                <w:sz w:val="16"/>
                <w:szCs w:val="16"/>
              </w:rPr>
            </w:pPr>
          </w:p>
        </w:tc>
        <w:tc>
          <w:tcPr>
            <w:tcW w:w="1794" w:type="dxa"/>
            <w:gridSpan w:val="2"/>
            <w:shd w:val="clear" w:color="auto" w:fill="FFFFFF"/>
            <w:vAlign w:val="center"/>
          </w:tcPr>
          <w:p>
            <w:pPr>
              <w:rPr>
                <w:rFonts w:ascii="宋体" w:cs="宋体"/>
                <w:color w:val="000000"/>
                <w:sz w:val="16"/>
                <w:szCs w:val="16"/>
              </w:rPr>
            </w:pPr>
          </w:p>
        </w:tc>
        <w:tc>
          <w:tcPr>
            <w:tcW w:w="2873" w:type="dxa"/>
            <w:gridSpan w:val="2"/>
            <w:shd w:val="clear" w:color="auto" w:fill="FFFFFF"/>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shd w:val="clear" w:color="auto" w:fill="FFFFFF"/>
          <w:tblLayout w:type="fixed"/>
          <w:tblCellMar>
            <w:top w:w="15" w:type="dxa"/>
            <w:left w:w="15" w:type="dxa"/>
            <w:bottom w:w="15" w:type="dxa"/>
            <w:right w:w="15" w:type="dxa"/>
          </w:tblCellMar>
        </w:tblPrEx>
        <w:trPr>
          <w:trHeight w:val="270" w:hRule="atLeast"/>
        </w:trPr>
        <w:tc>
          <w:tcPr>
            <w:tcW w:w="1650" w:type="dxa"/>
            <w:gridSpan w:val="2"/>
            <w:shd w:val="clear" w:color="auto" w:fill="FFFFFF"/>
            <w:vAlign w:val="center"/>
          </w:tcPr>
          <w:p>
            <w:pPr>
              <w:rPr>
                <w:rFonts w:ascii="宋体" w:cs="宋体"/>
                <w:color w:val="000000"/>
                <w:sz w:val="16"/>
                <w:szCs w:val="16"/>
              </w:rPr>
            </w:pPr>
          </w:p>
        </w:tc>
        <w:tc>
          <w:tcPr>
            <w:tcW w:w="1794" w:type="dxa"/>
            <w:shd w:val="clear" w:color="auto" w:fill="FFFFFF"/>
            <w:vAlign w:val="center"/>
          </w:tcPr>
          <w:p>
            <w:pPr>
              <w:rPr>
                <w:rFonts w:ascii="宋体" w:cs="宋体"/>
                <w:color w:val="000000"/>
                <w:sz w:val="16"/>
                <w:szCs w:val="16"/>
              </w:rPr>
            </w:pPr>
          </w:p>
        </w:tc>
        <w:tc>
          <w:tcPr>
            <w:tcW w:w="1620" w:type="dxa"/>
            <w:shd w:val="clear" w:color="auto" w:fill="FFFFFF"/>
            <w:vAlign w:val="center"/>
          </w:tcPr>
          <w:p>
            <w:pPr>
              <w:rPr>
                <w:rFonts w:ascii="宋体" w:cs="宋体"/>
                <w:color w:val="000000"/>
                <w:sz w:val="16"/>
                <w:szCs w:val="16"/>
              </w:rPr>
            </w:pPr>
          </w:p>
        </w:tc>
        <w:tc>
          <w:tcPr>
            <w:tcW w:w="754" w:type="dxa"/>
            <w:shd w:val="clear" w:color="auto" w:fill="FFFFFF"/>
            <w:vAlign w:val="center"/>
          </w:tcPr>
          <w:p>
            <w:pPr>
              <w:rPr>
                <w:rFonts w:ascii="宋体" w:cs="宋体"/>
                <w:color w:val="000000"/>
                <w:sz w:val="16"/>
                <w:szCs w:val="16"/>
              </w:rPr>
            </w:pPr>
          </w:p>
        </w:tc>
        <w:tc>
          <w:tcPr>
            <w:tcW w:w="1794" w:type="dxa"/>
            <w:gridSpan w:val="2"/>
            <w:shd w:val="clear" w:color="auto" w:fill="FFFFFF"/>
            <w:vAlign w:val="center"/>
          </w:tcPr>
          <w:p>
            <w:pPr>
              <w:rPr>
                <w:rFonts w:ascii="宋体" w:cs="宋体"/>
                <w:color w:val="000000"/>
                <w:sz w:val="16"/>
                <w:szCs w:val="16"/>
              </w:rPr>
            </w:pPr>
          </w:p>
        </w:tc>
        <w:tc>
          <w:tcPr>
            <w:tcW w:w="2873" w:type="dxa"/>
            <w:gridSpan w:val="2"/>
            <w:shd w:val="clear" w:color="auto" w:fill="FFFFFF"/>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shd w:val="clear" w:color="auto" w:fill="FFFFFF"/>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shd w:val="clear" w:color="auto" w:fill="FFFFFF"/>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367.1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75.5</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106.3</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0.1</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189.0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22.6</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34.1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0.2</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15.1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0.6</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61.5</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1.4</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因公出国（境）费用</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30.3</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0.1</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3.1</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31.2</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1.8</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63.3</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4.8</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b/>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304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对企事业单位的补贴</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30401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企业政策性补贴</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30402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事业单位补贴</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30403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财政贴息</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30499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其他对企事业单位的补贴</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307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债务利息支出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30701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国内债务付息</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30707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国外债务付息</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399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b/>
                <w:i w:val="0"/>
                <w:color w:val="000000"/>
                <w:kern w:val="0"/>
                <w:sz w:val="16"/>
                <w:szCs w:val="16"/>
                <w:u w:val="none"/>
                <w:lang w:val="en-US" w:eastAsia="zh-CN"/>
              </w:rPr>
              <w:t>其他支出</w:t>
            </w:r>
          </w:p>
        </w:tc>
        <w:tc>
          <w:tcPr>
            <w:tcW w:w="171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FFFFFF"/>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FFFFFF"/>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39906</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ascii="宋体" w:cs="宋体"/>
                <w:color w:val="000000"/>
                <w:sz w:val="16"/>
                <w:szCs w:val="16"/>
              </w:rPr>
            </w:pPr>
            <w:r>
              <w:rPr>
                <w:rFonts w:hint="eastAsia" w:ascii="宋体" w:hAnsi="宋体" w:eastAsia="宋体" w:cs="宋体"/>
                <w:i w:val="0"/>
                <w:color w:val="000000"/>
                <w:kern w:val="0"/>
                <w:sz w:val="16"/>
                <w:szCs w:val="16"/>
                <w:u w:val="none"/>
                <w:lang w:val="en-US" w:eastAsia="zh-CN"/>
              </w:rPr>
              <w:t xml:space="preserve">  赠与</w:t>
            </w:r>
          </w:p>
        </w:tc>
        <w:tc>
          <w:tcPr>
            <w:tcW w:w="1710"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r>
      <w:tr>
        <w:tblPrEx>
          <w:shd w:val="clear" w:color="auto" w:fill="FFFFFF"/>
          <w:tblLayout w:type="fixed"/>
          <w:tblCellMar>
            <w:top w:w="15" w:type="dxa"/>
            <w:left w:w="15" w:type="dxa"/>
            <w:bottom w:w="15" w:type="dxa"/>
            <w:right w:w="15" w:type="dxa"/>
          </w:tblCellMar>
        </w:tblPrEx>
        <w:trPr>
          <w:trHeight w:val="300" w:hRule="atLeast"/>
        </w:trPr>
        <w:tc>
          <w:tcPr>
            <w:tcW w:w="3444"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b/>
                <w:i w:val="0"/>
                <w:color w:val="000000"/>
                <w:kern w:val="0"/>
                <w:sz w:val="22"/>
                <w:szCs w:val="22"/>
                <w:u w:val="none"/>
                <w:lang w:val="en-US" w:eastAsia="zh-CN"/>
              </w:rPr>
              <w:t>人员经费合计</w:t>
            </w:r>
          </w:p>
        </w:tc>
        <w:tc>
          <w:tcPr>
            <w:tcW w:w="1620"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428.6</w:t>
            </w: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left"/>
              <w:textAlignment w:val="center"/>
              <w:rPr>
                <w:rFonts w:ascii="宋体" w:hAnsi="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6"/>
                <w:szCs w:val="16"/>
              </w:rPr>
            </w:pPr>
            <w:r>
              <w:rPr>
                <w:rFonts w:hint="eastAsia" w:ascii="宋体" w:hAnsi="宋体" w:eastAsia="宋体" w:cs="宋体"/>
                <w:b/>
                <w:i w:val="0"/>
                <w:color w:val="000000"/>
                <w:kern w:val="0"/>
                <w:sz w:val="22"/>
                <w:szCs w:val="22"/>
                <w:u w:val="none"/>
                <w:lang w:val="en-US" w:eastAsia="zh-CN"/>
              </w:rPr>
              <w:t>公用经费合计</w:t>
            </w:r>
          </w:p>
        </w:tc>
        <w:tc>
          <w:tcPr>
            <w:tcW w:w="1710"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bidi="ar"/>
              </w:rPr>
              <w:t>75.5</w:t>
            </w:r>
          </w:p>
        </w:tc>
      </w:tr>
      <w:tr>
        <w:tblPrEx>
          <w:shd w:val="clear" w:color="auto" w:fill="FFFFFF"/>
          <w:tblLayout w:type="fixed"/>
          <w:tblCellMar>
            <w:top w:w="15" w:type="dxa"/>
            <w:left w:w="15" w:type="dxa"/>
            <w:bottom w:w="15" w:type="dxa"/>
            <w:right w:w="15" w:type="dxa"/>
          </w:tblCellMar>
        </w:tblPrEx>
        <w:trPr>
          <w:trHeight w:val="477" w:hRule="atLeast"/>
        </w:trPr>
        <w:tc>
          <w:tcPr>
            <w:tcW w:w="8775" w:type="dxa"/>
            <w:gridSpan w:val="8"/>
            <w:shd w:val="clear" w:color="auto" w:fill="FFFFFF"/>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c>
          <w:tcPr>
            <w:tcW w:w="1710" w:type="dxa"/>
            <w:shd w:val="clear" w:color="auto" w:fill="FFFFFF"/>
            <w:vAlign w:val="center"/>
          </w:tcPr>
          <w:p>
            <w:pPr>
              <w:keepNext w:val="0"/>
              <w:keepLines w:val="0"/>
              <w:widowControl/>
              <w:suppressLineNumbers w:val="0"/>
              <w:jc w:val="right"/>
              <w:textAlignment w:val="cente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tbl>
      <w:tblPr>
        <w:tblStyle w:val="7"/>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31.9</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25.0</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25.0</w:t>
            </w:r>
          </w:p>
        </w:tc>
        <w:tc>
          <w:tcPr>
            <w:tcW w:w="915"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0.9</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b/>
                <w:color w:val="000000"/>
                <w:sz w:val="16"/>
                <w:szCs w:val="16"/>
              </w:rPr>
            </w:pPr>
            <w:r>
              <w:rPr>
                <w:rFonts w:hint="eastAsia" w:ascii="宋体" w:hAnsi="宋体" w:eastAsia="宋体" w:cs="宋体"/>
                <w:i w:val="0"/>
                <w:color w:val="000000"/>
                <w:kern w:val="0"/>
                <w:sz w:val="22"/>
                <w:szCs w:val="22"/>
                <w:u w:val="none"/>
                <w:lang w:val="en-US" w:eastAsia="zh-CN" w:bidi="ar"/>
              </w:rPr>
              <w:t>30.7</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6.0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24.7</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0.0</w:t>
            </w:r>
          </w:p>
        </w:tc>
        <w:tc>
          <w:tcPr>
            <w:tcW w:w="82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24.7</w:t>
            </w:r>
          </w:p>
        </w:tc>
        <w:tc>
          <w:tcPr>
            <w:tcW w:w="870"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宋体" w:cs="宋体"/>
                <w:color w:val="000000"/>
                <w:sz w:val="16"/>
                <w:szCs w:val="16"/>
              </w:rPr>
            </w:pPr>
            <w:r>
              <w:rPr>
                <w:rFonts w:hint="eastAsia" w:ascii="宋体" w:hAnsi="宋体" w:eastAsia="宋体" w:cs="宋体"/>
                <w:i w:val="0"/>
                <w:color w:val="000000"/>
                <w:kern w:val="0"/>
                <w:sz w:val="22"/>
                <w:szCs w:val="22"/>
                <w:u w:val="none"/>
                <w:lang w:val="en-US" w:eastAsia="zh-CN" w:bidi="ar"/>
              </w:rPr>
              <w:t>0.1</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auto"/>
                <w:kern w:val="0"/>
                <w:sz w:val="20"/>
                <w:szCs w:val="20"/>
              </w:rPr>
              <w:t>（说明：</w:t>
            </w:r>
            <w:r>
              <w:rPr>
                <w:rFonts w:hint="eastAsia" w:ascii="宋体" w:hAnsi="宋体" w:cs="宋体"/>
                <w:b/>
                <w:color w:val="auto"/>
                <w:kern w:val="0"/>
                <w:sz w:val="20"/>
                <w:szCs w:val="20"/>
                <w:lang w:eastAsia="zh-CN"/>
              </w:rPr>
              <w:t>平顶山市食品药品监督管理局（本级）</w:t>
            </w:r>
            <w:r>
              <w:rPr>
                <w:rFonts w:hint="eastAsia" w:ascii="宋体" w:hAnsi="宋体" w:cs="宋体"/>
                <w:b/>
                <w:color w:val="auto"/>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平顶山市食品药品监督管理局（本级）</w:t>
      </w:r>
    </w:p>
    <w:p>
      <w:pPr>
        <w:jc w:val="center"/>
        <w:rPr>
          <w:rFonts w:ascii="隶书" w:hAnsi="隶书" w:eastAsia="隶书" w:cs="隶书"/>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numPr>
          <w:ilvl w:val="0"/>
          <w:numId w:val="0"/>
        </w:numPr>
        <w:adjustRightInd w:val="0"/>
        <w:snapToGrid w:val="0"/>
        <w:spacing w:line="360" w:lineRule="auto"/>
        <w:ind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hint="eastAsia" w:ascii="仿宋_GB2312" w:hAnsi="宋体" w:eastAsia="仿宋_GB2312" w:cs="Courier New"/>
          <w:sz w:val="32"/>
          <w:szCs w:val="32"/>
          <w:lang w:val="en-US" w:eastAsia="zh-CN"/>
        </w:rPr>
        <w:t>2719.3</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2719.3</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年相比，收、支总计各增加</w:t>
      </w:r>
      <w:r>
        <w:rPr>
          <w:rFonts w:hint="eastAsia" w:ascii="仿宋_GB2312" w:hAnsi="宋体" w:eastAsia="仿宋_GB2312" w:cs="Courier New"/>
          <w:sz w:val="32"/>
          <w:szCs w:val="32"/>
          <w:lang w:val="en-US" w:eastAsia="zh-CN"/>
        </w:rPr>
        <w:t>485.4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21.7</w:t>
      </w:r>
      <w:r>
        <w:rPr>
          <w:rFonts w:ascii="仿宋_GB2312" w:hAnsi="宋体" w:eastAsia="仿宋_GB2312" w:cs="Courier New"/>
          <w:sz w:val="32"/>
          <w:szCs w:val="32"/>
        </w:rPr>
        <w:t>%</w:t>
      </w:r>
      <w:r>
        <w:rPr>
          <w:rFonts w:hint="eastAsia" w:ascii="仿宋_GB2312" w:hAnsi="宋体" w:eastAsia="仿宋_GB2312" w:cs="Courier New"/>
          <w:sz w:val="32"/>
          <w:szCs w:val="32"/>
        </w:rPr>
        <w:t>。主要原因是</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一是因养老金改革、公车改革、正常增资、晋级晋档、</w:t>
      </w:r>
      <w:r>
        <w:rPr>
          <w:rFonts w:hint="eastAsia" w:ascii="仿宋_GB2312" w:hAnsi="仿宋_GB2312" w:eastAsia="仿宋_GB2312" w:cs="仿宋_GB2312"/>
          <w:sz w:val="32"/>
          <w:szCs w:val="32"/>
          <w:lang w:bidi="ar"/>
        </w:rPr>
        <w:t>补发目标考核奖、健康休养费</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取暖费</w:t>
      </w:r>
      <w:r>
        <w:rPr>
          <w:rFonts w:hint="eastAsia" w:ascii="仿宋_GB2312" w:hAnsi="仿宋_GB2312" w:eastAsia="仿宋_GB2312" w:cs="仿宋_GB2312"/>
          <w:sz w:val="32"/>
          <w:szCs w:val="32"/>
          <w:lang w:val="en-US" w:eastAsia="zh-CN" w:bidi="ar"/>
        </w:rPr>
        <w:t>等</w:t>
      </w:r>
      <w:r>
        <w:rPr>
          <w:rFonts w:hint="eastAsia" w:ascii="仿宋_GB2312" w:hAnsi="宋体" w:eastAsia="仿宋_GB2312" w:cs="Courier New"/>
          <w:sz w:val="32"/>
          <w:szCs w:val="32"/>
          <w:lang w:val="en-US" w:eastAsia="zh-CN"/>
        </w:rPr>
        <w:t>，追加预算后基本支出收支</w:t>
      </w:r>
      <w:r>
        <w:rPr>
          <w:rFonts w:hint="default" w:ascii="仿宋_GB2312" w:hAnsi="宋体" w:eastAsia="仿宋_GB2312" w:cs="Courier New"/>
          <w:sz w:val="32"/>
          <w:szCs w:val="32"/>
          <w:lang w:val="en-US" w:eastAsia="zh-CN"/>
        </w:rPr>
        <w:t>增加</w:t>
      </w:r>
      <w:r>
        <w:rPr>
          <w:rFonts w:hint="eastAsia" w:ascii="仿宋_GB2312" w:hAnsi="宋体" w:eastAsia="仿宋_GB2312" w:cs="Courier New"/>
          <w:sz w:val="32"/>
          <w:szCs w:val="32"/>
          <w:lang w:val="en-US" w:eastAsia="zh-CN"/>
        </w:rPr>
        <w:t>；二是支出中包含当年市级财政、省财政追加经费及中央转移支出补助经费，</w:t>
      </w:r>
      <w:r>
        <w:rPr>
          <w:rFonts w:hint="default" w:ascii="仿宋_GB2312" w:hAnsi="宋体" w:eastAsia="仿宋_GB2312" w:cs="Courier New"/>
          <w:sz w:val="32"/>
          <w:szCs w:val="32"/>
          <w:lang w:val="en-US" w:eastAsia="zh-CN"/>
        </w:rPr>
        <w:t>项目</w:t>
      </w:r>
      <w:r>
        <w:rPr>
          <w:rFonts w:hint="eastAsia" w:ascii="仿宋_GB2312" w:hAnsi="宋体" w:eastAsia="仿宋_GB2312" w:cs="Courier New"/>
          <w:sz w:val="32"/>
          <w:szCs w:val="32"/>
          <w:lang w:val="en-US" w:eastAsia="zh-CN"/>
        </w:rPr>
        <w:t>支出收支</w:t>
      </w:r>
      <w:r>
        <w:rPr>
          <w:rFonts w:hint="default" w:ascii="仿宋_GB2312" w:hAnsi="宋体" w:eastAsia="仿宋_GB2312" w:cs="Courier New"/>
          <w:sz w:val="32"/>
          <w:szCs w:val="32"/>
          <w:lang w:val="en-US" w:eastAsia="zh-CN"/>
        </w:rPr>
        <w:t>增加</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1121.4</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1095.2</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97.7</w:t>
      </w:r>
      <w:r>
        <w:rPr>
          <w:rFonts w:ascii="仿宋_GB2312" w:hAnsi="Times New Roman" w:eastAsia="仿宋_GB2312"/>
          <w:sz w:val="32"/>
          <w:szCs w:val="32"/>
        </w:rPr>
        <w:t>%</w:t>
      </w:r>
      <w:r>
        <w:rPr>
          <w:rFonts w:hint="eastAsia" w:ascii="仿宋_GB2312" w:hAnsi="Times New Roman" w:eastAsia="仿宋_GB2312"/>
          <w:sz w:val="32"/>
          <w:szCs w:val="32"/>
        </w:rPr>
        <w:t>；其他收入</w:t>
      </w:r>
      <w:r>
        <w:rPr>
          <w:rFonts w:hint="eastAsia" w:ascii="仿宋_GB2312" w:hAnsi="Times New Roman" w:eastAsia="仿宋_GB2312"/>
          <w:sz w:val="32"/>
          <w:szCs w:val="32"/>
          <w:lang w:val="en-US" w:eastAsia="zh-CN"/>
        </w:rPr>
        <w:t>26.2</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2.3</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hint="eastAsia" w:ascii="仿宋_GB2312" w:hAnsi="宋体" w:eastAsia="仿宋_GB2312" w:cs="Courier New"/>
          <w:sz w:val="32"/>
          <w:szCs w:val="32"/>
          <w:lang w:val="en-US" w:eastAsia="zh-CN"/>
        </w:rPr>
        <w:t>1679</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504.3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30</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1174.7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70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决算</w:t>
      </w:r>
      <w:r>
        <w:rPr>
          <w:rFonts w:hint="eastAsia" w:ascii="仿宋_GB2312" w:hAnsi="宋体" w:eastAsia="仿宋_GB2312" w:cs="Courier New"/>
          <w:sz w:val="32"/>
          <w:szCs w:val="32"/>
          <w:lang w:val="en-US" w:eastAsia="zh-CN"/>
        </w:rPr>
        <w:t>2691.8</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，支出决算</w:t>
      </w:r>
      <w:r>
        <w:rPr>
          <w:rFonts w:hint="eastAsia" w:ascii="仿宋_GB2312" w:hAnsi="宋体" w:eastAsia="仿宋_GB2312" w:cs="Courier New"/>
          <w:sz w:val="32"/>
          <w:szCs w:val="32"/>
          <w:lang w:val="en-US" w:eastAsia="zh-CN"/>
        </w:rPr>
        <w:t>2691.8</w:t>
      </w:r>
      <w:r>
        <w:rPr>
          <w:rFonts w:hint="default" w:ascii="仿宋_GB2312" w:hAnsi="宋体" w:eastAsia="仿宋_GB2312" w:cs="Courier New"/>
          <w:sz w:val="32"/>
          <w:szCs w:val="32"/>
          <w:lang w:val="en-US" w:eastAsia="zh-CN"/>
        </w:rPr>
        <w:t>万元</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年相比，财政拨款收、支总计各增加</w:t>
      </w:r>
      <w:r>
        <w:rPr>
          <w:rFonts w:hint="eastAsia" w:ascii="仿宋_GB2312" w:hAnsi="宋体" w:eastAsia="仿宋_GB2312" w:cs="Courier New"/>
          <w:sz w:val="32"/>
          <w:szCs w:val="32"/>
          <w:lang w:val="en-US" w:eastAsia="zh-CN"/>
        </w:rPr>
        <w:t>476.5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21.5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hint="eastAsia" w:ascii="仿宋_GB2312" w:hAnsi="宋体" w:eastAsia="仿宋_GB2312" w:cs="Courier New"/>
          <w:sz w:val="32"/>
          <w:szCs w:val="32"/>
          <w:lang w:val="en-US" w:eastAsia="zh-CN"/>
        </w:rPr>
        <w:t>1664.5</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99.1</w:t>
      </w:r>
      <w:r>
        <w:rPr>
          <w:rFonts w:ascii="仿宋_GB2312" w:hAnsi="宋体" w:eastAsia="仿宋_GB2312" w:cs="Courier New"/>
          <w:sz w:val="32"/>
          <w:szCs w:val="32"/>
        </w:rPr>
        <w:t>%</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hint="eastAsia" w:ascii="仿宋_GB2312" w:hAnsi="宋体" w:eastAsia="仿宋_GB2312" w:cs="Courier New"/>
          <w:sz w:val="32"/>
          <w:szCs w:val="32"/>
          <w:lang w:val="en-US" w:eastAsia="zh-CN"/>
        </w:rPr>
        <w:t>1045.8</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169</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hint="eastAsia" w:ascii="仿宋_GB2312" w:hAnsi="宋体" w:eastAsia="仿宋_GB2312" w:cs="Courier New"/>
          <w:sz w:val="32"/>
          <w:szCs w:val="32"/>
          <w:lang w:val="en-US" w:eastAsia="zh-CN"/>
        </w:rPr>
        <w:t>1664.5</w:t>
      </w:r>
      <w:r>
        <w:rPr>
          <w:rFonts w:hint="eastAsia" w:ascii="仿宋_GB2312" w:hAnsi="宋体" w:eastAsia="仿宋_GB2312" w:cs="Courier New"/>
          <w:sz w:val="32"/>
          <w:szCs w:val="32"/>
        </w:rPr>
        <w:t>万元，主要用于以下方面：</w:t>
      </w:r>
      <w:r>
        <w:rPr>
          <w:rFonts w:hint="eastAsia" w:ascii="仿宋_GB2312" w:hAnsi="宋体" w:eastAsia="仿宋_GB2312" w:cs="Courier New"/>
          <w:b w:val="0"/>
          <w:bCs w:val="0"/>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613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36.8</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b w:val="0"/>
          <w:bCs w:val="0"/>
          <w:sz w:val="32"/>
          <w:szCs w:val="32"/>
        </w:rPr>
        <w:t>社会保障和就业（类）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32.8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b w:val="0"/>
          <w:bCs w:val="0"/>
          <w:sz w:val="32"/>
          <w:szCs w:val="32"/>
        </w:rPr>
        <w:t>医疗卫生与计划生育（类）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987.8万元，</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59.3</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b w:val="0"/>
          <w:bCs w:val="0"/>
          <w:sz w:val="32"/>
          <w:szCs w:val="32"/>
        </w:rPr>
        <w:t>住房保障支出（类）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30.8万元，</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1.9</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p>
    <w:p>
      <w:pPr>
        <w:pStyle w:val="14"/>
        <w:numPr>
          <w:ilvl w:val="0"/>
          <w:numId w:val="0"/>
        </w:numPr>
        <w:adjustRightInd w:val="0"/>
        <w:snapToGrid w:val="0"/>
        <w:spacing w:line="360" w:lineRule="auto"/>
        <w:ind w:left="425" w:firstLine="0" w:firstLineChars="0"/>
        <w:rPr>
          <w:rFonts w:ascii="楷体_GB2312" w:hAnsi="楷体_GB2312" w:eastAsia="楷体_GB2312" w:cs="楷体_GB2312"/>
          <w:sz w:val="32"/>
          <w:szCs w:val="32"/>
        </w:rPr>
      </w:pPr>
      <w:r>
        <w:rPr>
          <w:rFonts w:hint="default" w:ascii="楷体_GB2312" w:hAnsi="楷体_GB2312" w:eastAsia="楷体_GB2312" w:cs="楷体_GB2312"/>
          <w:sz w:val="32"/>
          <w:szCs w:val="32"/>
          <w:lang w:val="en-US"/>
        </w:rPr>
        <w:t xml:space="preserve">   3.</w:t>
      </w:r>
      <w:r>
        <w:rPr>
          <w:rFonts w:hint="eastAsia" w:ascii="楷体_GB2312" w:hAnsi="楷体_GB2312" w:eastAsia="楷体_GB2312" w:cs="楷体_GB2312"/>
          <w:sz w:val="32"/>
          <w:szCs w:val="32"/>
        </w:rPr>
        <w:t>财政拨款支出决算具体情况。</w:t>
      </w:r>
    </w:p>
    <w:p>
      <w:pPr>
        <w:numPr>
          <w:ilvl w:val="0"/>
          <w:numId w:val="0"/>
        </w:numPr>
        <w:adjustRightInd w:val="0"/>
        <w:snapToGrid w:val="0"/>
        <w:spacing w:line="360" w:lineRule="auto"/>
        <w:ind w:firstLineChars="200"/>
        <w:rPr>
          <w:rFonts w:hint="eastAsia"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hint="eastAsia" w:ascii="仿宋_GB2312" w:hAnsi="宋体" w:eastAsia="仿宋_GB2312" w:cs="Courier New"/>
          <w:sz w:val="32"/>
          <w:szCs w:val="32"/>
          <w:lang w:val="en-US" w:eastAsia="zh-CN"/>
        </w:rPr>
        <w:t>464.8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1664.5</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358</w:t>
      </w:r>
      <w:r>
        <w:rPr>
          <w:rFonts w:ascii="仿宋_GB2312" w:hAnsi="宋体" w:eastAsia="仿宋_GB2312" w:cs="Courier New"/>
          <w:sz w:val="32"/>
          <w:szCs w:val="32"/>
        </w:rPr>
        <w:t>%</w:t>
      </w:r>
      <w:r>
        <w:rPr>
          <w:rFonts w:hint="eastAsia" w:ascii="仿宋_GB2312" w:hAnsi="宋体" w:eastAsia="仿宋_GB2312" w:cs="Courier New"/>
          <w:sz w:val="32"/>
          <w:szCs w:val="32"/>
        </w:rPr>
        <w:t>。决算数大于预算数的主要原因：一是</w:t>
      </w:r>
      <w:r>
        <w:rPr>
          <w:rFonts w:hint="eastAsia" w:ascii="仿宋_GB2312" w:hAnsi="宋体" w:eastAsia="仿宋_GB2312" w:cs="Courier New"/>
          <w:sz w:val="32"/>
          <w:szCs w:val="32"/>
          <w:lang w:val="en-US" w:eastAsia="zh-CN"/>
        </w:rPr>
        <w:t>年初结转资金中安排基本建设支出增幅较大；二是基本支出收支决算有所增加。主要是因养老金改革、公车改革、正常增资、晋级晋档、</w:t>
      </w:r>
      <w:r>
        <w:rPr>
          <w:rFonts w:hint="eastAsia" w:ascii="仿宋_GB2312" w:hAnsi="仿宋_GB2312" w:eastAsia="仿宋_GB2312" w:cs="仿宋_GB2312"/>
          <w:sz w:val="32"/>
          <w:szCs w:val="32"/>
          <w:lang w:bidi="ar"/>
        </w:rPr>
        <w:t>补发目标考核奖、健康休养费</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取暖费</w:t>
      </w:r>
      <w:r>
        <w:rPr>
          <w:rFonts w:hint="eastAsia" w:ascii="仿宋_GB2312" w:hAnsi="仿宋_GB2312" w:eastAsia="仿宋_GB2312" w:cs="仿宋_GB2312"/>
          <w:sz w:val="32"/>
          <w:szCs w:val="32"/>
          <w:lang w:val="en-US" w:eastAsia="zh-CN" w:bidi="ar"/>
        </w:rPr>
        <w:t>等</w:t>
      </w:r>
      <w:r>
        <w:rPr>
          <w:rFonts w:hint="eastAsia" w:ascii="仿宋_GB2312" w:hAnsi="宋体" w:eastAsia="仿宋_GB2312" w:cs="Courier New"/>
          <w:sz w:val="32"/>
          <w:szCs w:val="32"/>
          <w:lang w:val="en-US" w:eastAsia="zh-CN"/>
        </w:rPr>
        <w:t>，追加预算后基本支出收支</w:t>
      </w:r>
      <w:r>
        <w:rPr>
          <w:rFonts w:hint="default" w:ascii="仿宋_GB2312" w:hAnsi="宋体" w:eastAsia="仿宋_GB2312" w:cs="Courier New"/>
          <w:sz w:val="32"/>
          <w:szCs w:val="32"/>
          <w:lang w:val="en-US" w:eastAsia="zh-CN"/>
        </w:rPr>
        <w:t>增加</w:t>
      </w:r>
      <w:r>
        <w:rPr>
          <w:rFonts w:hint="eastAsia" w:ascii="仿宋_GB2312" w:hAnsi="宋体" w:eastAsia="仿宋_GB2312" w:cs="Courier New"/>
          <w:sz w:val="32"/>
          <w:szCs w:val="32"/>
          <w:lang w:val="en-US" w:eastAsia="zh-CN"/>
        </w:rPr>
        <w:t>；三是支出中包含当年市级财政、省财政追加经费及中央转移支出补助经费，</w:t>
      </w:r>
      <w:r>
        <w:rPr>
          <w:rFonts w:hint="default" w:ascii="仿宋_GB2312" w:hAnsi="宋体" w:eastAsia="仿宋_GB2312" w:cs="Courier New"/>
          <w:sz w:val="32"/>
          <w:szCs w:val="32"/>
          <w:lang w:val="en-US" w:eastAsia="zh-CN"/>
        </w:rPr>
        <w:t>项目</w:t>
      </w:r>
      <w:r>
        <w:rPr>
          <w:rFonts w:hint="eastAsia" w:ascii="仿宋_GB2312" w:hAnsi="宋体" w:eastAsia="仿宋_GB2312" w:cs="Courier New"/>
          <w:sz w:val="32"/>
          <w:szCs w:val="32"/>
          <w:lang w:val="en-US" w:eastAsia="zh-CN"/>
        </w:rPr>
        <w:t>支出有所增加</w:t>
      </w:r>
      <w:r>
        <w:rPr>
          <w:rFonts w:hint="eastAsia" w:ascii="仿宋_GB2312" w:hAnsi="宋体" w:eastAsia="仿宋_GB2312" w:cs="Courier New"/>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firstLine="422" w:firstLineChars="200"/>
        <w:jc w:val="left"/>
      </w:pPr>
      <w:r>
        <w:rPr>
          <w:rStyle w:val="6"/>
          <w:rFonts w:hint="eastAsia" w:ascii="宋体" w:hAnsi="宋体" w:eastAsia="宋体" w:cs="宋体"/>
          <w:color w:val="000000"/>
          <w:sz w:val="21"/>
          <w:szCs w:val="21"/>
        </w:rPr>
        <w:t>1．一般公共服务支出（类）质量技术监督与检验检疫事务（款）其他质量技术监督与检验检疫事务支出（项）。</w:t>
      </w:r>
      <w:r>
        <w:rPr>
          <w:rFonts w:hint="eastAsia" w:ascii="宋体" w:hAnsi="宋体" w:eastAsia="宋体" w:cs="宋体"/>
          <w:color w:val="000000"/>
          <w:sz w:val="21"/>
          <w:szCs w:val="21"/>
        </w:rPr>
        <w:t>年初预算为0万元，支出决算为</w:t>
      </w:r>
      <w:r>
        <w:rPr>
          <w:rFonts w:hint="eastAsia" w:ascii="宋体" w:hAnsi="宋体" w:cs="宋体"/>
          <w:color w:val="000000"/>
          <w:sz w:val="21"/>
          <w:szCs w:val="21"/>
          <w:lang w:val="en-US" w:eastAsia="zh-CN"/>
        </w:rPr>
        <w:t>613</w:t>
      </w:r>
      <w:r>
        <w:rPr>
          <w:rFonts w:hint="eastAsia" w:ascii="宋体" w:hAnsi="宋体" w:eastAsia="宋体" w:cs="宋体"/>
          <w:color w:val="000000"/>
          <w:sz w:val="21"/>
          <w:szCs w:val="21"/>
        </w:rPr>
        <w:t>万元，决算数大于预算数的主要原因是使用上年结转的</w:t>
      </w:r>
      <w:r>
        <w:rPr>
          <w:rFonts w:hint="eastAsia" w:ascii="宋体" w:hAnsi="宋体" w:cs="宋体"/>
          <w:color w:val="000000"/>
          <w:sz w:val="21"/>
          <w:szCs w:val="21"/>
          <w:lang w:val="en-US" w:eastAsia="zh-CN"/>
        </w:rPr>
        <w:t>基本建设</w:t>
      </w:r>
      <w:r>
        <w:rPr>
          <w:rFonts w:hint="eastAsia" w:ascii="宋体" w:hAnsi="宋体" w:eastAsia="宋体" w:cs="宋体"/>
          <w:color w:val="000000"/>
          <w:sz w:val="21"/>
          <w:szCs w:val="21"/>
        </w:rPr>
        <w:t>项目资金支出。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firstLine="422" w:firstLineChars="200"/>
        <w:jc w:val="left"/>
        <w:rPr>
          <w:rStyle w:val="6"/>
          <w:rFonts w:hint="eastAsia" w:ascii="宋体" w:hAnsi="宋体" w:cs="宋体"/>
          <w:b w:val="0"/>
          <w:bCs/>
          <w:color w:val="000000"/>
          <w:sz w:val="21"/>
          <w:szCs w:val="21"/>
          <w:lang w:val="en-US" w:eastAsia="zh-CN"/>
        </w:rPr>
      </w:pPr>
      <w:r>
        <w:rPr>
          <w:rStyle w:val="6"/>
          <w:rFonts w:hint="eastAsia" w:ascii="宋体" w:hAnsi="宋体" w:eastAsia="宋体" w:cs="宋体"/>
          <w:color w:val="000000"/>
          <w:sz w:val="21"/>
          <w:szCs w:val="21"/>
        </w:rPr>
        <w:t>2．社会保障和就业支出（类）行政事业单位离退休（款）归口管理的行政单位离退休（项）。</w:t>
      </w:r>
      <w:r>
        <w:rPr>
          <w:rStyle w:val="6"/>
          <w:rFonts w:hint="eastAsia" w:ascii="宋体" w:hAnsi="宋体" w:eastAsia="宋体" w:cs="宋体"/>
          <w:b w:val="0"/>
          <w:bCs/>
          <w:color w:val="000000"/>
          <w:sz w:val="21"/>
          <w:szCs w:val="21"/>
        </w:rPr>
        <w:t>年初预算为</w:t>
      </w:r>
      <w:r>
        <w:rPr>
          <w:rStyle w:val="6"/>
          <w:rFonts w:hint="eastAsia" w:ascii="宋体" w:hAnsi="宋体" w:cs="宋体"/>
          <w:b w:val="0"/>
          <w:bCs/>
          <w:color w:val="000000"/>
          <w:sz w:val="21"/>
          <w:szCs w:val="21"/>
          <w:lang w:val="en-US" w:eastAsia="zh-CN"/>
        </w:rPr>
        <w:t>28.1</w:t>
      </w:r>
      <w:r>
        <w:rPr>
          <w:rStyle w:val="6"/>
          <w:rFonts w:hint="eastAsia" w:ascii="宋体" w:hAnsi="宋体" w:eastAsia="宋体" w:cs="宋体"/>
          <w:b w:val="0"/>
          <w:bCs/>
          <w:color w:val="000000"/>
          <w:sz w:val="21"/>
          <w:szCs w:val="21"/>
        </w:rPr>
        <w:t>万元，支出决算为</w:t>
      </w:r>
      <w:r>
        <w:rPr>
          <w:rStyle w:val="6"/>
          <w:rFonts w:hint="eastAsia" w:ascii="宋体" w:hAnsi="宋体" w:cs="宋体"/>
          <w:b w:val="0"/>
          <w:bCs/>
          <w:color w:val="000000"/>
          <w:sz w:val="21"/>
          <w:szCs w:val="21"/>
          <w:lang w:val="en-US" w:eastAsia="zh-CN"/>
        </w:rPr>
        <w:t>32.8</w:t>
      </w:r>
      <w:r>
        <w:rPr>
          <w:rStyle w:val="6"/>
          <w:rFonts w:hint="eastAsia" w:ascii="宋体" w:hAnsi="宋体" w:eastAsia="宋体" w:cs="宋体"/>
          <w:b w:val="0"/>
          <w:bCs/>
          <w:color w:val="000000"/>
          <w:sz w:val="21"/>
          <w:szCs w:val="21"/>
        </w:rPr>
        <w:t>万元</w:t>
      </w:r>
      <w:r>
        <w:rPr>
          <w:rStyle w:val="6"/>
          <w:rFonts w:hint="eastAsia" w:ascii="宋体" w:hAnsi="宋体" w:cs="宋体"/>
          <w:b w:val="0"/>
          <w:bCs/>
          <w:color w:val="000000"/>
          <w:sz w:val="21"/>
          <w:szCs w:val="21"/>
          <w:lang w:val="en-US" w:eastAsia="zh-CN"/>
        </w:rPr>
        <w:t>,决算数大于预算数的主要原因是市财政当年追加了离退休健康休养费、取暖费等经费。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3</w:t>
      </w:r>
      <w:r>
        <w:rPr>
          <w:rStyle w:val="6"/>
          <w:rFonts w:hint="eastAsia" w:ascii="宋体" w:hAnsi="宋体" w:eastAsia="宋体" w:cs="宋体"/>
          <w:color w:val="000000"/>
          <w:sz w:val="21"/>
          <w:szCs w:val="21"/>
        </w:rPr>
        <w:t>.医疗卫生与计划生育支出（类）公共卫生（款）其他公共卫生支出（项）。</w:t>
      </w:r>
      <w:r>
        <w:rPr>
          <w:rFonts w:hint="eastAsia" w:ascii="宋体" w:hAnsi="宋体" w:eastAsia="宋体" w:cs="宋体"/>
          <w:color w:val="000000"/>
          <w:sz w:val="21"/>
          <w:szCs w:val="21"/>
        </w:rPr>
        <w:t>年初预算为0万元，支出决算为</w:t>
      </w:r>
      <w:r>
        <w:rPr>
          <w:rFonts w:hint="eastAsia" w:ascii="宋体" w:hAnsi="宋体" w:cs="宋体"/>
          <w:color w:val="000000"/>
          <w:sz w:val="21"/>
          <w:szCs w:val="21"/>
          <w:lang w:val="en-US" w:eastAsia="zh-CN"/>
        </w:rPr>
        <w:t>98</w:t>
      </w:r>
      <w:r>
        <w:rPr>
          <w:rFonts w:hint="eastAsia" w:ascii="宋体" w:hAnsi="宋体" w:eastAsia="宋体" w:cs="宋体"/>
          <w:color w:val="000000"/>
          <w:sz w:val="21"/>
          <w:szCs w:val="21"/>
        </w:rPr>
        <w:t>万</w:t>
      </w:r>
      <w:r>
        <w:rPr>
          <w:rFonts w:hint="eastAsia" w:ascii="宋体" w:hAnsi="宋体" w:cs="宋体"/>
          <w:color w:val="000000"/>
          <w:sz w:val="21"/>
          <w:szCs w:val="21"/>
          <w:lang w:eastAsia="zh-CN"/>
        </w:rPr>
        <w:t>，</w:t>
      </w:r>
      <w:r>
        <w:rPr>
          <w:rFonts w:hint="eastAsia" w:ascii="宋体" w:hAnsi="宋体" w:eastAsia="宋体" w:cs="宋体"/>
          <w:color w:val="000000"/>
          <w:sz w:val="21"/>
          <w:szCs w:val="21"/>
        </w:rPr>
        <w:t>主要原因是使用上年结转的中央补助资金支出。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4</w:t>
      </w:r>
      <w:r>
        <w:rPr>
          <w:rStyle w:val="6"/>
          <w:rFonts w:hint="eastAsia" w:ascii="宋体" w:hAnsi="宋体" w:eastAsia="宋体" w:cs="宋体"/>
          <w:color w:val="000000"/>
          <w:sz w:val="21"/>
          <w:szCs w:val="21"/>
        </w:rPr>
        <w:t>.医疗卫生与计划生育支出（类）医疗保障（款）行政单位医疗（项）。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32.3</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34.1</w:t>
      </w:r>
      <w:r>
        <w:rPr>
          <w:rFonts w:hint="eastAsia" w:ascii="宋体" w:hAnsi="宋体" w:eastAsia="宋体" w:cs="宋体"/>
          <w:color w:val="000000"/>
          <w:sz w:val="21"/>
          <w:szCs w:val="21"/>
        </w:rPr>
        <w:t>万元，决算数大于预算数的主要原因是人员变动造成实际支出数与预算数有差距。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5</w:t>
      </w:r>
      <w:r>
        <w:rPr>
          <w:rStyle w:val="6"/>
          <w:rFonts w:hint="eastAsia" w:ascii="宋体" w:hAnsi="宋体" w:eastAsia="宋体" w:cs="宋体"/>
          <w:color w:val="000000"/>
          <w:sz w:val="21"/>
          <w:szCs w:val="21"/>
        </w:rPr>
        <w:t>.医疗卫生与计划生育支出（类）食品和药品监督管理事务（款）行政运行（项）。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330.2</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406.4</w:t>
      </w:r>
      <w:r>
        <w:rPr>
          <w:rFonts w:hint="eastAsia" w:ascii="宋体" w:hAnsi="宋体" w:eastAsia="宋体" w:cs="宋体"/>
          <w:color w:val="000000"/>
          <w:sz w:val="21"/>
          <w:szCs w:val="21"/>
        </w:rPr>
        <w:t>万元，完成年初预算的</w:t>
      </w:r>
      <w:r>
        <w:rPr>
          <w:rFonts w:hint="eastAsia" w:ascii="宋体" w:hAnsi="宋体" w:cs="宋体"/>
          <w:color w:val="000000"/>
          <w:sz w:val="21"/>
          <w:szCs w:val="21"/>
          <w:lang w:val="en-US" w:eastAsia="zh-CN"/>
        </w:rPr>
        <w:t>123.1</w:t>
      </w:r>
      <w:r>
        <w:rPr>
          <w:rFonts w:hint="eastAsia" w:ascii="宋体" w:hAnsi="宋体" w:eastAsia="宋体" w:cs="宋体"/>
          <w:color w:val="000000"/>
          <w:sz w:val="21"/>
          <w:szCs w:val="21"/>
        </w:rPr>
        <w:t>%</w:t>
      </w:r>
      <w:r>
        <w:rPr>
          <w:rFonts w:hint="eastAsia" w:ascii="宋体" w:hAnsi="宋体" w:cs="宋体"/>
          <w:color w:val="000000"/>
          <w:sz w:val="21"/>
          <w:szCs w:val="21"/>
          <w:lang w:eastAsia="zh-CN"/>
        </w:rPr>
        <w:t>，</w:t>
      </w:r>
      <w:r>
        <w:rPr>
          <w:rFonts w:hint="eastAsia" w:ascii="宋体" w:hAnsi="宋体" w:eastAsia="宋体" w:cs="宋体"/>
          <w:color w:val="000000"/>
          <w:sz w:val="21"/>
          <w:szCs w:val="21"/>
        </w:rPr>
        <w:t>决算数大于预算数的主要原因是当年财政追加行政人员</w:t>
      </w:r>
      <w:r>
        <w:rPr>
          <w:rFonts w:hint="eastAsia" w:ascii="宋体" w:hAnsi="宋体" w:cs="宋体"/>
          <w:color w:val="000000"/>
          <w:sz w:val="21"/>
          <w:szCs w:val="21"/>
          <w:lang w:val="en-US" w:eastAsia="zh-CN"/>
        </w:rPr>
        <w:t>工资及养老金</w:t>
      </w:r>
      <w:r>
        <w:rPr>
          <w:rFonts w:hint="eastAsia" w:ascii="宋体" w:hAnsi="宋体" w:eastAsia="宋体" w:cs="宋体"/>
          <w:color w:val="000000"/>
          <w:sz w:val="21"/>
          <w:szCs w:val="21"/>
        </w:rPr>
        <w:t>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Style w:val="6"/>
          <w:rFonts w:hint="eastAsia" w:ascii="宋体" w:hAnsi="宋体" w:eastAsia="宋体" w:cs="宋体"/>
          <w:color w:val="000000"/>
          <w:sz w:val="21"/>
          <w:szCs w:val="21"/>
        </w:rPr>
      </w:pPr>
      <w:r>
        <w:rPr>
          <w:rStyle w:val="6"/>
          <w:rFonts w:hint="eastAsia" w:ascii="宋体" w:hAnsi="宋体" w:cs="宋体"/>
          <w:color w:val="000000"/>
          <w:sz w:val="21"/>
          <w:szCs w:val="21"/>
          <w:lang w:val="en-US" w:eastAsia="zh-CN"/>
        </w:rPr>
        <w:t>6</w:t>
      </w:r>
      <w:r>
        <w:rPr>
          <w:rStyle w:val="6"/>
          <w:rFonts w:hint="eastAsia" w:ascii="宋体" w:hAnsi="宋体" w:eastAsia="宋体" w:cs="宋体"/>
          <w:color w:val="000000"/>
          <w:sz w:val="21"/>
          <w:szCs w:val="21"/>
        </w:rPr>
        <w:t>.医疗卫生与计划生育支出（类）食品和药品监督管理事务（款）化妆品事务（项）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20</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20</w:t>
      </w:r>
      <w:r>
        <w:rPr>
          <w:rFonts w:hint="eastAsia" w:ascii="宋体" w:hAnsi="宋体" w:eastAsia="宋体" w:cs="宋体"/>
          <w:color w:val="000000"/>
          <w:sz w:val="21"/>
          <w:szCs w:val="21"/>
        </w:rPr>
        <w:t>万元，完成年初预算的</w:t>
      </w:r>
      <w:r>
        <w:rPr>
          <w:rFonts w:hint="eastAsia" w:ascii="宋体" w:hAnsi="宋体" w:cs="宋体"/>
          <w:color w:val="000000"/>
          <w:sz w:val="21"/>
          <w:szCs w:val="21"/>
          <w:lang w:val="en-US" w:eastAsia="zh-CN"/>
        </w:rPr>
        <w:t>100</w:t>
      </w:r>
      <w:r>
        <w:rPr>
          <w:rFonts w:hint="eastAsia" w:ascii="宋体" w:hAnsi="宋体" w:eastAsia="宋体" w:cs="宋体"/>
          <w:color w:val="000000"/>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7.</w:t>
      </w:r>
      <w:r>
        <w:rPr>
          <w:rStyle w:val="6"/>
          <w:rFonts w:hint="eastAsia" w:ascii="宋体" w:hAnsi="宋体" w:eastAsia="宋体" w:cs="宋体"/>
          <w:color w:val="000000"/>
          <w:sz w:val="21"/>
          <w:szCs w:val="21"/>
        </w:rPr>
        <w:t>医疗卫生与计划生育支出（类）食品和药品监督管理事务（款）医疗器械事务（项）。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60</w:t>
      </w:r>
      <w:r>
        <w:rPr>
          <w:rFonts w:hint="eastAsia" w:ascii="宋体" w:hAnsi="宋体" w:eastAsia="宋体" w:cs="宋体"/>
          <w:color w:val="000000"/>
          <w:sz w:val="21"/>
          <w:szCs w:val="21"/>
        </w:rPr>
        <w:t>万元，决算数大于预算数的主要原因</w:t>
      </w:r>
      <w:r>
        <w:rPr>
          <w:rFonts w:hint="eastAsia" w:ascii="宋体" w:hAnsi="宋体" w:cs="宋体"/>
          <w:color w:val="000000"/>
          <w:sz w:val="21"/>
          <w:szCs w:val="21"/>
          <w:lang w:val="en-US" w:eastAsia="zh-CN"/>
        </w:rPr>
        <w:t>是</w:t>
      </w:r>
      <w:r>
        <w:rPr>
          <w:rFonts w:hint="eastAsia" w:ascii="宋体" w:hAnsi="宋体" w:eastAsia="宋体" w:cs="宋体"/>
          <w:color w:val="000000"/>
          <w:sz w:val="21"/>
          <w:szCs w:val="21"/>
        </w:rPr>
        <w:t xml:space="preserve">使用当年财政追加的医疗器械事务项目支出。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8</w:t>
      </w:r>
      <w:r>
        <w:rPr>
          <w:rStyle w:val="6"/>
          <w:rFonts w:hint="eastAsia" w:ascii="宋体" w:hAnsi="宋体" w:eastAsia="宋体" w:cs="宋体"/>
          <w:color w:val="000000"/>
          <w:sz w:val="21"/>
          <w:szCs w:val="21"/>
        </w:rPr>
        <w:t>.医疗卫生与计划生育支出（类）食品和药品监督管理事务（款）食品安全事务（项）。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15</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354.9</w:t>
      </w:r>
      <w:r>
        <w:rPr>
          <w:rFonts w:hint="eastAsia" w:ascii="宋体" w:hAnsi="宋体" w:eastAsia="宋体" w:cs="宋体"/>
          <w:color w:val="000000"/>
          <w:sz w:val="21"/>
          <w:szCs w:val="21"/>
        </w:rPr>
        <w:t>万元，决算数大于预算数的主要原因是当年财政追加的食品抽检</w:t>
      </w:r>
      <w:r>
        <w:rPr>
          <w:rFonts w:hint="eastAsia" w:ascii="宋体" w:hAnsi="宋体" w:cs="宋体"/>
          <w:color w:val="000000"/>
          <w:sz w:val="21"/>
          <w:szCs w:val="21"/>
          <w:lang w:val="en-US" w:eastAsia="zh-CN"/>
        </w:rPr>
        <w:t>及</w:t>
      </w:r>
      <w:r>
        <w:rPr>
          <w:rFonts w:hint="eastAsia" w:ascii="宋体" w:hAnsi="宋体" w:eastAsia="宋体" w:cs="宋体"/>
          <w:color w:val="000000"/>
          <w:sz w:val="21"/>
          <w:szCs w:val="21"/>
        </w:rPr>
        <w:t>食品</w:t>
      </w:r>
      <w:r>
        <w:rPr>
          <w:rFonts w:hint="eastAsia" w:ascii="宋体" w:hAnsi="宋体" w:cs="宋体"/>
          <w:color w:val="000000"/>
          <w:sz w:val="21"/>
          <w:szCs w:val="21"/>
          <w:lang w:val="en-US" w:eastAsia="zh-CN"/>
        </w:rPr>
        <w:t>安全监管评估等经费</w:t>
      </w:r>
      <w:r>
        <w:rPr>
          <w:rFonts w:hint="eastAsia" w:ascii="宋体" w:hAnsi="宋体" w:eastAsia="宋体" w:cs="宋体"/>
          <w:color w:val="000000"/>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9.</w:t>
      </w:r>
      <w:r>
        <w:rPr>
          <w:rStyle w:val="6"/>
          <w:rFonts w:hint="eastAsia" w:ascii="宋体" w:hAnsi="宋体" w:eastAsia="宋体" w:cs="宋体"/>
          <w:color w:val="000000"/>
          <w:sz w:val="21"/>
          <w:szCs w:val="21"/>
        </w:rPr>
        <w:t>医疗卫生与计划生育支出（类）食品和药品监督管理事务（款）事业运行（项）。</w:t>
      </w:r>
      <w:r>
        <w:rPr>
          <w:rFonts w:hint="eastAsia" w:ascii="宋体" w:hAnsi="宋体" w:eastAsia="宋体" w:cs="宋体"/>
          <w:color w:val="000000"/>
          <w:sz w:val="21"/>
          <w:szCs w:val="21"/>
        </w:rPr>
        <w:t xml:space="preserve">年初预算为 </w:t>
      </w:r>
      <w:r>
        <w:rPr>
          <w:rFonts w:hint="eastAsia" w:ascii="宋体" w:hAnsi="宋体" w:cs="宋体"/>
          <w:color w:val="000000"/>
          <w:sz w:val="21"/>
          <w:szCs w:val="21"/>
          <w:lang w:val="en-US" w:eastAsia="zh-CN"/>
        </w:rPr>
        <w:t>228.7</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218</w:t>
      </w:r>
      <w:r>
        <w:rPr>
          <w:rFonts w:hint="eastAsia" w:ascii="宋体" w:hAnsi="宋体" w:eastAsia="宋体" w:cs="宋体"/>
          <w:color w:val="000000"/>
          <w:sz w:val="21"/>
          <w:szCs w:val="21"/>
        </w:rPr>
        <w:t>万元，完成年初预算的</w:t>
      </w:r>
      <w:r>
        <w:rPr>
          <w:rFonts w:hint="eastAsia" w:ascii="宋体" w:hAnsi="宋体" w:cs="宋体"/>
          <w:color w:val="000000"/>
          <w:sz w:val="21"/>
          <w:szCs w:val="21"/>
          <w:lang w:val="en-US" w:eastAsia="zh-CN"/>
        </w:rPr>
        <w:t>95.3</w:t>
      </w:r>
      <w:r>
        <w:rPr>
          <w:rFonts w:hint="eastAsia" w:ascii="宋体" w:hAnsi="宋体" w:eastAsia="宋体" w:cs="宋体"/>
          <w:color w:val="000000"/>
          <w:sz w:val="21"/>
          <w:szCs w:val="21"/>
        </w:rPr>
        <w:t>%。决算数</w:t>
      </w:r>
      <w:r>
        <w:rPr>
          <w:rFonts w:hint="eastAsia" w:ascii="宋体" w:hAnsi="宋体" w:cs="宋体"/>
          <w:color w:val="000000"/>
          <w:sz w:val="21"/>
          <w:szCs w:val="21"/>
          <w:lang w:val="en-US" w:eastAsia="zh-CN"/>
        </w:rPr>
        <w:t>小</w:t>
      </w:r>
      <w:r>
        <w:rPr>
          <w:rFonts w:hint="eastAsia" w:ascii="宋体" w:hAnsi="宋体" w:eastAsia="宋体" w:cs="宋体"/>
          <w:color w:val="000000"/>
          <w:sz w:val="21"/>
          <w:szCs w:val="21"/>
        </w:rPr>
        <w:t>于预算数的主要原因是人员变动造成实际支出数与预算数有差距。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pPr>
      <w:r>
        <w:rPr>
          <w:rStyle w:val="6"/>
          <w:rFonts w:hint="eastAsia" w:ascii="宋体" w:hAnsi="宋体" w:cs="宋体"/>
          <w:color w:val="000000"/>
          <w:sz w:val="21"/>
          <w:szCs w:val="21"/>
          <w:lang w:val="en-US" w:eastAsia="zh-CN"/>
        </w:rPr>
        <w:t>10</w:t>
      </w:r>
      <w:r>
        <w:rPr>
          <w:rStyle w:val="6"/>
          <w:rFonts w:hint="eastAsia" w:ascii="宋体" w:hAnsi="宋体" w:eastAsia="宋体" w:cs="宋体"/>
          <w:color w:val="000000"/>
          <w:sz w:val="21"/>
          <w:szCs w:val="21"/>
        </w:rPr>
        <w:t>.医疗卫生与计划生育支出（类）食品和药品监督管理事务（款）其他食品和药品监督管理事务（项）。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8.4</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14.4</w:t>
      </w:r>
      <w:r>
        <w:rPr>
          <w:rFonts w:hint="eastAsia" w:ascii="宋体" w:hAnsi="宋体" w:eastAsia="宋体" w:cs="宋体"/>
          <w:color w:val="000000"/>
          <w:sz w:val="21"/>
          <w:szCs w:val="21"/>
        </w:rPr>
        <w:t>万元，决算数大于预算数的主要原因是当年财政追加的</w:t>
      </w:r>
      <w:r>
        <w:rPr>
          <w:rFonts w:hint="eastAsia" w:ascii="宋体" w:hAnsi="宋体" w:cs="宋体"/>
          <w:color w:val="000000"/>
          <w:sz w:val="21"/>
          <w:szCs w:val="21"/>
          <w:lang w:val="en-US" w:eastAsia="zh-CN"/>
        </w:rPr>
        <w:t>能力建设经费</w:t>
      </w:r>
      <w:r>
        <w:rPr>
          <w:rFonts w:hint="eastAsia" w:ascii="宋体" w:hAnsi="宋体" w:eastAsia="宋体" w:cs="宋体"/>
          <w:color w:val="000000"/>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eastAsia" w:ascii="仿宋_GB2312" w:hAnsi="宋体" w:eastAsia="仿宋_GB2312" w:cs="Courier New"/>
          <w:sz w:val="32"/>
          <w:szCs w:val="32"/>
        </w:rPr>
      </w:pPr>
      <w:r>
        <w:rPr>
          <w:rStyle w:val="6"/>
          <w:rFonts w:hint="eastAsia" w:ascii="宋体" w:hAnsi="宋体" w:cs="宋体"/>
          <w:color w:val="000000"/>
          <w:sz w:val="21"/>
          <w:szCs w:val="21"/>
          <w:lang w:val="en-US" w:eastAsia="zh-CN"/>
        </w:rPr>
        <w:t>11</w:t>
      </w:r>
      <w:r>
        <w:rPr>
          <w:rStyle w:val="6"/>
          <w:rFonts w:hint="eastAsia" w:ascii="宋体" w:hAnsi="宋体" w:eastAsia="宋体" w:cs="宋体"/>
          <w:color w:val="000000"/>
          <w:sz w:val="21"/>
          <w:szCs w:val="21"/>
        </w:rPr>
        <w:t>.住房保障支出（类）住房改革支出（款）住房公积金（项）。</w:t>
      </w:r>
      <w:r>
        <w:rPr>
          <w:rFonts w:hint="eastAsia" w:ascii="宋体" w:hAnsi="宋体" w:eastAsia="宋体" w:cs="宋体"/>
          <w:color w:val="000000"/>
          <w:sz w:val="21"/>
          <w:szCs w:val="21"/>
        </w:rPr>
        <w:t>年初预算为</w:t>
      </w:r>
      <w:r>
        <w:rPr>
          <w:rFonts w:hint="eastAsia" w:ascii="宋体" w:hAnsi="宋体" w:cs="宋体"/>
          <w:color w:val="000000"/>
          <w:sz w:val="21"/>
          <w:szCs w:val="21"/>
          <w:lang w:val="en-US" w:eastAsia="zh-CN"/>
        </w:rPr>
        <w:t>30.8</w:t>
      </w:r>
      <w:r>
        <w:rPr>
          <w:rFonts w:hint="eastAsia" w:ascii="宋体" w:hAnsi="宋体" w:eastAsia="宋体" w:cs="宋体"/>
          <w:color w:val="000000"/>
          <w:sz w:val="21"/>
          <w:szCs w:val="21"/>
        </w:rPr>
        <w:t>万元，支出决算为</w:t>
      </w:r>
      <w:r>
        <w:rPr>
          <w:rFonts w:hint="eastAsia" w:ascii="宋体" w:hAnsi="宋体" w:cs="宋体"/>
          <w:color w:val="000000"/>
          <w:sz w:val="21"/>
          <w:szCs w:val="21"/>
          <w:lang w:val="en-US" w:eastAsia="zh-CN"/>
        </w:rPr>
        <w:t>30.8</w:t>
      </w:r>
      <w:r>
        <w:rPr>
          <w:rFonts w:hint="eastAsia" w:ascii="宋体" w:hAnsi="宋体" w:eastAsia="宋体" w:cs="宋体"/>
          <w:color w:val="000000"/>
          <w:sz w:val="21"/>
          <w:szCs w:val="21"/>
        </w:rPr>
        <w:t>万元，完成年初预算的</w:t>
      </w:r>
      <w:r>
        <w:rPr>
          <w:rFonts w:hint="eastAsia" w:ascii="宋体" w:hAnsi="宋体" w:cs="宋体"/>
          <w:color w:val="000000"/>
          <w:sz w:val="21"/>
          <w:szCs w:val="21"/>
          <w:lang w:val="en-US" w:eastAsia="zh-CN"/>
        </w:rPr>
        <w:t>100</w:t>
      </w:r>
      <w:r>
        <w:rPr>
          <w:rFonts w:hint="eastAsia" w:ascii="宋体" w:hAnsi="宋体" w:eastAsia="宋体" w:cs="宋体"/>
          <w:color w:val="000000"/>
          <w:sz w:val="21"/>
          <w:szCs w:val="21"/>
        </w:rPr>
        <w:t>%。</w:t>
      </w:r>
      <w:bookmarkStart w:id="0" w:name="_GoBack"/>
    </w:p>
    <w:bookmarkEnd w:id="0"/>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hint="eastAsia" w:ascii="仿宋_GB2312" w:hAnsi="宋体" w:eastAsia="仿宋_GB2312" w:cs="Courier New"/>
          <w:sz w:val="32"/>
          <w:szCs w:val="32"/>
          <w:lang w:val="en-US" w:eastAsia="zh-CN"/>
        </w:rPr>
        <w:t>504.1</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428.6</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w:t>
      </w:r>
      <w:r>
        <w:rPr>
          <w:rFonts w:hint="eastAsia" w:ascii="仿宋_GB2312" w:hAnsi="宋体" w:eastAsia="仿宋_GB2312" w:cs="Courier New"/>
          <w:sz w:val="32"/>
          <w:szCs w:val="32"/>
          <w:lang w:val="en-US" w:eastAsia="zh-CN"/>
        </w:rPr>
        <w:t>106.3</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、津贴补贴1</w:t>
      </w:r>
      <w:r>
        <w:rPr>
          <w:rFonts w:hint="eastAsia" w:ascii="仿宋_GB2312" w:hAnsi="宋体" w:eastAsia="仿宋_GB2312" w:cs="Courier New"/>
          <w:sz w:val="32"/>
          <w:szCs w:val="32"/>
          <w:lang w:val="en-US" w:eastAsia="zh-CN"/>
        </w:rPr>
        <w:t>89</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奖金22.6</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其他社会保障缴费</w:t>
      </w:r>
      <w:r>
        <w:rPr>
          <w:rFonts w:hint="eastAsia" w:ascii="仿宋_GB2312" w:hAnsi="宋体" w:eastAsia="仿宋_GB2312" w:cs="Courier New"/>
          <w:sz w:val="32"/>
          <w:szCs w:val="32"/>
          <w:lang w:val="en-US" w:eastAsia="zh-CN"/>
        </w:rPr>
        <w:t>34.1</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机关事业单位基本养老保险缴费</w:t>
      </w:r>
      <w:r>
        <w:rPr>
          <w:rFonts w:hint="eastAsia" w:ascii="仿宋_GB2312" w:hAnsi="宋体" w:eastAsia="仿宋_GB2312" w:cs="Courier New"/>
          <w:sz w:val="32"/>
          <w:szCs w:val="32"/>
          <w:lang w:val="en-US" w:eastAsia="zh-CN"/>
        </w:rPr>
        <w:t>15.1</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职业年金缴费0.1</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退休费</w:t>
      </w:r>
      <w:r>
        <w:rPr>
          <w:rFonts w:hint="eastAsia" w:ascii="仿宋_GB2312" w:hAnsi="宋体" w:eastAsia="仿宋_GB2312" w:cs="Courier New"/>
          <w:sz w:val="32"/>
          <w:szCs w:val="32"/>
          <w:lang w:val="en-US" w:eastAsia="zh-CN"/>
        </w:rPr>
        <w:t>30.3</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住房公积金</w:t>
      </w:r>
      <w:r>
        <w:rPr>
          <w:rFonts w:hint="eastAsia" w:ascii="仿宋_GB2312" w:hAnsi="宋体" w:eastAsia="仿宋_GB2312" w:cs="Courier New"/>
          <w:sz w:val="32"/>
          <w:szCs w:val="32"/>
          <w:lang w:val="en-US" w:eastAsia="zh-CN"/>
        </w:rPr>
        <w:t>31.2</w:t>
      </w:r>
      <w:r>
        <w:rPr>
          <w:rFonts w:hint="eastAsia" w:ascii="仿宋_GB2312" w:hAnsi="宋体" w:eastAsia="仿宋_GB2312" w:cs="Courier New"/>
          <w:sz w:val="32"/>
          <w:szCs w:val="32"/>
          <w:lang w:eastAsia="zh-CN"/>
        </w:rPr>
        <w:t>万；</w:t>
      </w:r>
      <w:r>
        <w:rPr>
          <w:rFonts w:hint="eastAsia" w:ascii="仿宋_GB2312" w:hAnsi="Times New Roman" w:eastAsia="仿宋_GB2312" w:cs="仿宋_GB2312"/>
          <w:b w:val="0"/>
          <w:bCs/>
          <w:spacing w:val="-1"/>
          <w:kern w:val="0"/>
          <w:sz w:val="32"/>
          <w:szCs w:val="32"/>
        </w:rPr>
        <w:t>公用经费</w:t>
      </w:r>
      <w:r>
        <w:rPr>
          <w:rFonts w:hint="eastAsia" w:ascii="仿宋_GB2312" w:hAnsi="Times New Roman" w:eastAsia="仿宋_GB2312" w:cs="仿宋_GB2312"/>
          <w:spacing w:val="-2"/>
          <w:kern w:val="0"/>
          <w:sz w:val="32"/>
          <w:szCs w:val="32"/>
          <w:lang w:val="en-US" w:eastAsia="zh-CN"/>
        </w:rPr>
        <w:t>75.5</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rPr>
        <w:tab/>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手续费0.2</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邮电费</w:t>
      </w:r>
      <w:r>
        <w:rPr>
          <w:rFonts w:hint="eastAsia" w:ascii="仿宋_GB2312" w:hAnsi="宋体" w:eastAsia="仿宋_GB2312" w:cs="Courier New"/>
          <w:sz w:val="32"/>
          <w:szCs w:val="32"/>
        </w:rPr>
        <w:tab/>
      </w:r>
      <w:r>
        <w:rPr>
          <w:rFonts w:hint="eastAsia" w:ascii="仿宋_GB2312" w:hAnsi="宋体" w:eastAsia="仿宋_GB2312" w:cs="Courier New"/>
          <w:sz w:val="32"/>
          <w:szCs w:val="32"/>
          <w:lang w:val="en-US" w:eastAsia="zh-CN"/>
        </w:rPr>
        <w:t>0.6</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差旅费</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公务接待费0.1</w:t>
      </w:r>
      <w:r>
        <w:rPr>
          <w:rFonts w:hint="eastAsia" w:ascii="仿宋_GB2312" w:hAnsi="宋体" w:eastAsia="仿宋_GB2312" w:cs="Courier New"/>
          <w:sz w:val="32"/>
          <w:szCs w:val="32"/>
          <w:lang w:val="en-US" w:eastAsia="zh-CN"/>
        </w:rPr>
        <w:t>万</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劳务费</w:t>
      </w:r>
      <w:r>
        <w:rPr>
          <w:rFonts w:hint="eastAsia" w:ascii="仿宋_GB2312" w:hAnsi="宋体" w:eastAsia="仿宋_GB2312" w:cs="Courier New"/>
          <w:sz w:val="32"/>
          <w:szCs w:val="32"/>
          <w:lang w:val="en-US" w:eastAsia="zh-CN"/>
        </w:rPr>
        <w:t>3.1万</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工会经费</w:t>
      </w:r>
      <w:r>
        <w:rPr>
          <w:rFonts w:hint="eastAsia" w:ascii="仿宋_GB2312" w:hAnsi="宋体" w:eastAsia="仿宋_GB2312" w:cs="Courier New"/>
          <w:sz w:val="32"/>
          <w:szCs w:val="32"/>
          <w:lang w:val="en-US" w:eastAsia="zh-CN"/>
        </w:rPr>
        <w:t>1.8</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公务用车运行维护费</w:t>
      </w:r>
      <w:r>
        <w:rPr>
          <w:rFonts w:hint="eastAsia" w:ascii="仿宋_GB2312" w:hAnsi="宋体" w:eastAsia="仿宋_GB2312" w:cs="Courier New"/>
          <w:sz w:val="32"/>
          <w:szCs w:val="32"/>
        </w:rPr>
        <w:tab/>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其他交通费用63.3</w:t>
      </w:r>
      <w:r>
        <w:rPr>
          <w:rFonts w:hint="eastAsia" w:ascii="仿宋_GB2312" w:hAnsi="宋体" w:eastAsia="仿宋_GB2312" w:cs="Courier New"/>
          <w:sz w:val="32"/>
          <w:szCs w:val="32"/>
          <w:lang w:eastAsia="zh-CN"/>
        </w:rPr>
        <w:t>万、</w:t>
      </w:r>
      <w:r>
        <w:rPr>
          <w:rFonts w:hint="eastAsia" w:ascii="仿宋_GB2312" w:hAnsi="宋体" w:eastAsia="仿宋_GB2312" w:cs="Courier New"/>
          <w:sz w:val="32"/>
          <w:szCs w:val="32"/>
        </w:rPr>
        <w:t>其他商品和服务支出</w:t>
      </w:r>
      <w:r>
        <w:rPr>
          <w:rFonts w:hint="eastAsia" w:ascii="仿宋_GB2312" w:hAnsi="宋体" w:eastAsia="仿宋_GB2312" w:cs="Courier New"/>
          <w:sz w:val="32"/>
          <w:szCs w:val="32"/>
        </w:rPr>
        <w:tab/>
      </w:r>
      <w:r>
        <w:rPr>
          <w:rFonts w:hint="eastAsia" w:ascii="仿宋_GB2312" w:hAnsi="宋体" w:eastAsia="仿宋_GB2312" w:cs="Courier New"/>
          <w:sz w:val="32"/>
          <w:szCs w:val="32"/>
          <w:lang w:val="en-US" w:eastAsia="zh-CN"/>
        </w:rPr>
        <w:t>4.8</w:t>
      </w:r>
      <w:r>
        <w:rPr>
          <w:rFonts w:hint="eastAsia" w:ascii="仿宋_GB2312" w:hAnsi="宋体" w:eastAsia="仿宋_GB2312" w:cs="Courier New"/>
          <w:sz w:val="32"/>
          <w:szCs w:val="32"/>
          <w:lang w:eastAsia="zh-CN"/>
        </w:rPr>
        <w:t>万。</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31.9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30.7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96.2</w:t>
      </w:r>
      <w:r>
        <w:rPr>
          <w:rFonts w:ascii="仿宋_GB2312" w:hAnsi="宋体" w:eastAsia="仿宋_GB2312" w:cs="Courier New"/>
          <w:sz w:val="32"/>
          <w:szCs w:val="32"/>
        </w:rPr>
        <w:t>%</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24.7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98.8</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11.11</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年度“三公”经费支出决算数小于预算数的主要原因是</w:t>
      </w:r>
      <w:r>
        <w:rPr>
          <w:rFonts w:hint="eastAsia" w:ascii="仿宋_GB2312" w:hAnsi="仿宋" w:eastAsia="仿宋_GB2312" w:cs="仿宋"/>
          <w:color w:val="000000"/>
          <w:sz w:val="32"/>
          <w:szCs w:val="32"/>
          <w:lang w:val="en-US" w:eastAsia="zh-CN"/>
        </w:rPr>
        <w:t>严控公务接待费支出及</w:t>
      </w:r>
      <w:r>
        <w:rPr>
          <w:rFonts w:hint="eastAsia" w:ascii="仿宋_GB2312" w:hAnsi="宋体" w:eastAsia="仿宋_GB2312" w:cs="Courier New"/>
          <w:sz w:val="32"/>
          <w:szCs w:val="32"/>
        </w:rPr>
        <w:t>公务用车购运行费支出。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年减少</w:t>
      </w:r>
      <w:r>
        <w:rPr>
          <w:rFonts w:hint="eastAsia" w:ascii="仿宋_GB2312" w:hAnsi="宋体" w:eastAsia="仿宋_GB2312" w:cs="Courier New"/>
          <w:sz w:val="32"/>
          <w:szCs w:val="32"/>
          <w:lang w:val="en-US" w:eastAsia="zh-CN"/>
        </w:rPr>
        <w:t>2.2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6.7</w:t>
      </w:r>
      <w:r>
        <w:rPr>
          <w:rFonts w:ascii="仿宋_GB2312" w:hAnsi="宋体" w:eastAsia="仿宋_GB2312" w:cs="Courier New"/>
          <w:sz w:val="32"/>
          <w:szCs w:val="32"/>
        </w:rPr>
        <w:t>%</w:t>
      </w:r>
      <w:r>
        <w:rPr>
          <w:rFonts w:hint="eastAsia" w:ascii="仿宋_GB2312" w:hAnsi="宋体" w:eastAsia="仿宋_GB2312" w:cs="Courier New"/>
          <w:sz w:val="32"/>
          <w:szCs w:val="32"/>
        </w:rPr>
        <w:t>，其中：因公出国（境）费支出决算增加</w:t>
      </w:r>
      <w:r>
        <w:rPr>
          <w:rFonts w:hint="eastAsia" w:ascii="仿宋_GB2312" w:hAnsi="宋体" w:eastAsia="仿宋_GB2312" w:cs="Courier New"/>
          <w:sz w:val="32"/>
          <w:szCs w:val="32"/>
          <w:lang w:val="en-US" w:eastAsia="zh-CN"/>
        </w:rPr>
        <w:t>4.4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275</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；公务用车购置及运行费支出决算减少</w:t>
      </w:r>
      <w:r>
        <w:rPr>
          <w:rFonts w:hint="eastAsia" w:ascii="仿宋_GB2312" w:hAnsi="宋体" w:eastAsia="仿宋_GB2312" w:cs="Courier New"/>
          <w:sz w:val="32"/>
          <w:szCs w:val="32"/>
          <w:lang w:val="en-US" w:eastAsia="zh-CN"/>
        </w:rPr>
        <w:t>6.6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21.1</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；公务接待费支出决算减少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万元。因公出国（境）费支出增加的主要原因是</w:t>
      </w:r>
      <w:r>
        <w:rPr>
          <w:rFonts w:hint="eastAsia" w:ascii="仿宋_GB2312" w:hAnsi="宋体" w:eastAsia="仿宋_GB2312" w:cs="Courier New"/>
          <w:sz w:val="32"/>
          <w:szCs w:val="32"/>
          <w:lang w:val="en-US" w:eastAsia="zh-CN"/>
        </w:rPr>
        <w:t>食品安全监管出国培训支出增加</w:t>
      </w:r>
      <w:r>
        <w:rPr>
          <w:rFonts w:hint="eastAsia" w:ascii="仿宋_GB2312" w:hAnsi="宋体" w:eastAsia="仿宋_GB2312" w:cs="Courier New"/>
          <w:sz w:val="32"/>
          <w:szCs w:val="32"/>
        </w:rPr>
        <w:t>；公务用车购置及运行费支出减少的主要原因是严格落实公车改革制度、加强公务用车管理，强化支出审批</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控制公务用车运行费支出有所减少。</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adjustRightInd w:val="0"/>
        <w:snapToGrid w:val="0"/>
        <w:spacing w:line="360" w:lineRule="auto"/>
        <w:jc w:val="center"/>
        <w:rPr>
          <w:rFonts w:ascii="宋体" w:cs="宋体"/>
          <w:sz w:val="24"/>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19.5</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24.7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80.4</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0.1</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万元。全年安排因公出国（境）团组</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人次。开支内容</w:t>
      </w:r>
      <w:r>
        <w:rPr>
          <w:rFonts w:hint="eastAsia" w:ascii="仿宋_GB2312" w:hAnsi="宋体" w:eastAsia="仿宋_GB2312" w:cs="Courier New"/>
          <w:sz w:val="32"/>
          <w:szCs w:val="32"/>
          <w:lang w:val="en-US" w:eastAsia="zh-CN"/>
        </w:rPr>
        <w:t>为</w:t>
      </w:r>
      <w:r>
        <w:rPr>
          <w:rFonts w:hint="eastAsia" w:ascii="仿宋_GB2312" w:hAnsi="宋体" w:eastAsia="仿宋_GB2312" w:cs="Courier New"/>
          <w:b w:val="0"/>
          <w:bCs w:val="0"/>
          <w:sz w:val="32"/>
          <w:szCs w:val="32"/>
        </w:rPr>
        <w:t>境外业务培训</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万元，主要用于为提高</w:t>
      </w:r>
      <w:r>
        <w:rPr>
          <w:rFonts w:hint="eastAsia" w:ascii="仿宋_GB2312" w:hAnsi="宋体" w:eastAsia="仿宋_GB2312" w:cs="Courier New"/>
          <w:sz w:val="32"/>
          <w:szCs w:val="32"/>
          <w:lang w:val="en-US" w:eastAsia="zh-CN"/>
        </w:rPr>
        <w:t>食品安全监管水平，而进行的</w:t>
      </w:r>
      <w:r>
        <w:rPr>
          <w:rFonts w:hint="eastAsia" w:ascii="仿宋_GB2312" w:hAnsi="宋体" w:eastAsia="仿宋_GB2312" w:cs="Courier New"/>
          <w:b w:val="0"/>
          <w:bCs w:val="0"/>
          <w:sz w:val="32"/>
          <w:szCs w:val="32"/>
        </w:rPr>
        <w:t>境外</w:t>
      </w:r>
      <w:r>
        <w:rPr>
          <w:rFonts w:hint="eastAsia" w:ascii="仿宋_GB2312" w:hAnsi="宋体" w:eastAsia="仿宋_GB2312" w:cs="Courier New"/>
          <w:sz w:val="32"/>
          <w:szCs w:val="32"/>
          <w:lang w:val="en-US" w:eastAsia="zh-CN"/>
        </w:rPr>
        <w:t>食品安全监管专题培训</w:t>
      </w:r>
      <w:r>
        <w:rPr>
          <w:rFonts w:hint="eastAsia" w:ascii="仿宋_GB2312" w:hAnsi="宋体" w:eastAsia="仿宋_GB2312" w:cs="Courier New"/>
          <w:sz w:val="32"/>
          <w:szCs w:val="32"/>
        </w:rPr>
        <w:t>。</w:t>
      </w:r>
    </w:p>
    <w:p>
      <w:pPr>
        <w:pStyle w:val="14"/>
        <w:numPr>
          <w:ilvl w:val="0"/>
          <w:numId w:val="0"/>
        </w:numPr>
        <w:kinsoku w:val="0"/>
        <w:overflowPunct w:val="0"/>
        <w:autoSpaceDE w:val="0"/>
        <w:autoSpaceDN w:val="0"/>
        <w:adjustRightInd w:val="0"/>
        <w:snapToGrid w:val="0"/>
        <w:spacing w:line="360" w:lineRule="auto"/>
        <w:ind w:left="425" w:firstLine="0" w:firstLineChars="0"/>
        <w:rPr>
          <w:rFonts w:hint="eastAsia" w:ascii="仿宋_GB2312" w:hAnsi="宋体" w:eastAsia="仿宋_GB2312" w:cs="Courier New"/>
          <w:sz w:val="32"/>
          <w:szCs w:val="32"/>
        </w:rPr>
      </w:pPr>
      <w:r>
        <w:rPr>
          <w:rFonts w:hint="eastAsia" w:ascii="仿宋_GB2312" w:hAnsi="宋体" w:eastAsia="仿宋_GB2312"/>
          <w:b/>
          <w:bCs/>
          <w:sz w:val="32"/>
          <w:szCs w:val="32"/>
        </w:rPr>
        <w:t xml:space="preserve"> 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公务用车运行支出</w:t>
      </w:r>
      <w:r>
        <w:rPr>
          <w:rFonts w:hint="eastAsia" w:ascii="仿宋_GB2312" w:hAnsi="宋体" w:eastAsia="仿宋_GB2312" w:cs="Courier New"/>
          <w:sz w:val="32"/>
          <w:szCs w:val="32"/>
          <w:lang w:val="en-US" w:eastAsia="zh-CN"/>
        </w:rPr>
        <w:t>24.7</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lang w:val="en-US" w:eastAsia="zh-CN"/>
        </w:rPr>
        <w:t>食品药品监管工作支出</w:t>
      </w:r>
      <w:r>
        <w:rPr>
          <w:rFonts w:hint="eastAsia" w:ascii="仿宋_GB2312" w:hAnsi="宋体" w:eastAsia="仿宋_GB2312" w:cs="Courier New"/>
          <w:sz w:val="32"/>
          <w:szCs w:val="32"/>
        </w:rPr>
        <w:t>。</w:t>
      </w:r>
      <w:r>
        <w:rPr>
          <w:rFonts w:ascii="仿宋_GB2312" w:hAnsi="宋体" w:eastAsia="仿宋_GB2312" w:cs="Courier New"/>
          <w:sz w:val="32"/>
          <w:szCs w:val="32"/>
        </w:rPr>
        <w:t>2016</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平顶山市食品药品监督管理局</w:t>
      </w:r>
      <w:r>
        <w:rPr>
          <w:rFonts w:hint="eastAsia" w:ascii="仿宋_GB2312" w:hAnsi="宋体" w:eastAsia="仿宋_GB2312" w:cs="Courier New"/>
          <w:sz w:val="32"/>
          <w:szCs w:val="32"/>
        </w:rPr>
        <w:t>机关</w:t>
      </w:r>
      <w:r>
        <w:rPr>
          <w:rFonts w:hint="eastAsia" w:ascii="仿宋_GB2312" w:hAnsi="宋体" w:eastAsia="仿宋_GB2312" w:cs="Courier New"/>
          <w:sz w:val="32"/>
          <w:szCs w:val="32"/>
          <w:lang w:val="en-US" w:eastAsia="zh-CN"/>
        </w:rPr>
        <w:t>及</w:t>
      </w:r>
      <w:r>
        <w:rPr>
          <w:rFonts w:hint="eastAsia" w:ascii="仿宋_GB2312" w:hAnsi="宋体" w:eastAsia="仿宋_GB2312" w:cs="Courier New"/>
          <w:sz w:val="32"/>
          <w:szCs w:val="32"/>
        </w:rPr>
        <w:t>局</w:t>
      </w:r>
      <w:r>
        <w:rPr>
          <w:rFonts w:hint="eastAsia" w:ascii="仿宋_GB2312" w:hAnsi="宋体" w:eastAsia="仿宋_GB2312" w:cs="Courier New"/>
          <w:sz w:val="32"/>
          <w:szCs w:val="32"/>
          <w:lang w:val="en-US" w:eastAsia="zh-CN"/>
        </w:rPr>
        <w:t>直属</w:t>
      </w:r>
      <w:r>
        <w:rPr>
          <w:rFonts w:hint="eastAsia" w:ascii="仿宋_GB2312" w:hAnsi="宋体" w:eastAsia="仿宋_GB2312" w:cs="Courier New"/>
          <w:sz w:val="32"/>
          <w:szCs w:val="32"/>
        </w:rPr>
        <w:t>单位开支财政拨款的公务用车保有量为</w:t>
      </w:r>
      <w:r>
        <w:rPr>
          <w:rFonts w:hint="eastAsia" w:ascii="仿宋_GB2312" w:hAnsi="宋体" w:eastAsia="仿宋_GB2312" w:cs="Courier New"/>
          <w:sz w:val="32"/>
          <w:szCs w:val="32"/>
          <w:lang w:val="en-US" w:eastAsia="zh-CN"/>
        </w:rPr>
        <w:t>7辆</w:t>
      </w: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公务接待费支出</w:t>
      </w:r>
      <w:r>
        <w:rPr>
          <w:rFonts w:hint="eastAsia" w:ascii="仿宋_GB2312" w:hAnsi="宋体" w:eastAsia="仿宋_GB2312"/>
          <w:b w:val="0"/>
          <w:bCs w:val="0"/>
          <w:sz w:val="32"/>
          <w:szCs w:val="32"/>
          <w:lang w:val="en-US" w:eastAsia="zh-CN"/>
        </w:rPr>
        <w:t>0.1</w:t>
      </w:r>
      <w:r>
        <w:rPr>
          <w:rFonts w:hint="eastAsia" w:ascii="仿宋_GB2312" w:hAnsi="宋体" w:eastAsia="仿宋_GB2312"/>
          <w:b w:val="0"/>
          <w:bCs w:val="0"/>
          <w:sz w:val="32"/>
          <w:szCs w:val="32"/>
        </w:rPr>
        <w:t>万元</w:t>
      </w:r>
      <w:r>
        <w:rPr>
          <w:rFonts w:hint="eastAsia" w:ascii="仿宋_GB2312" w:hAnsi="宋体" w:eastAsia="仿宋_GB2312"/>
          <w:b/>
          <w:bCs/>
          <w:sz w:val="32"/>
          <w:szCs w:val="32"/>
        </w:rPr>
        <w:t>。</w:t>
      </w:r>
      <w:r>
        <w:rPr>
          <w:rFonts w:hint="eastAsia" w:ascii="仿宋_GB2312" w:hAnsi="宋体" w:eastAsia="仿宋_GB2312" w:cs="Courier New"/>
          <w:sz w:val="32"/>
          <w:szCs w:val="32"/>
        </w:rPr>
        <w:t>主要用于</w:t>
      </w:r>
      <w:r>
        <w:rPr>
          <w:rFonts w:hint="eastAsia" w:ascii="仿宋_GB2312" w:hAnsi="宋体" w:eastAsia="仿宋_GB2312" w:cs="Courier New"/>
          <w:sz w:val="32"/>
          <w:szCs w:val="32"/>
          <w:lang w:val="en-US" w:eastAsia="zh-CN"/>
        </w:rPr>
        <w:t>接待食品药品监管执法办案人员</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平顶山市食品药品监督管理局</w:t>
      </w:r>
      <w:r>
        <w:rPr>
          <w:rFonts w:ascii="仿宋_GB2312" w:hAnsi="宋体" w:eastAsia="仿宋_GB2312" w:cs="Courier New"/>
          <w:sz w:val="32"/>
          <w:szCs w:val="32"/>
        </w:rPr>
        <w:t>2016</w:t>
      </w:r>
      <w:r>
        <w:rPr>
          <w:rFonts w:hint="eastAsia" w:ascii="仿宋_GB2312" w:hAnsi="宋体" w:eastAsia="仿宋_GB2312" w:cs="Courier New"/>
          <w:sz w:val="32"/>
          <w:szCs w:val="32"/>
        </w:rPr>
        <w:t>年度共接待国内来访团组</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个、来访人员</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人次（不包括陪同人员）。</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根据财政预算管理要求，平顶山市食品药品监督管理局对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年度一般公共预算项目支出全面开展绩效自评。共涉及预算资金</w:t>
      </w:r>
      <w:r>
        <w:rPr>
          <w:rFonts w:hint="eastAsia" w:ascii="仿宋_GB2312" w:hAnsi="宋体" w:eastAsia="仿宋_GB2312" w:cs="Courier New"/>
          <w:sz w:val="32"/>
          <w:szCs w:val="32"/>
          <w:lang w:val="en-US" w:eastAsia="zh-CN"/>
        </w:rPr>
        <w:t>547</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其他重要事项的情况说明</w:t>
      </w:r>
    </w:p>
    <w:p>
      <w:pPr>
        <w:numPr>
          <w:ilvl w:val="0"/>
          <w:numId w:val="8"/>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hint="eastAsia" w:ascii="仿宋_GB2312" w:hAnsi="宋体" w:eastAsia="仿宋_GB2312" w:cs="Courier New"/>
          <w:sz w:val="32"/>
          <w:szCs w:val="32"/>
          <w:lang w:val="en-US" w:eastAsia="zh-CN"/>
        </w:rPr>
        <w:t>75.5</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年增加</w:t>
      </w:r>
      <w:r>
        <w:rPr>
          <w:rFonts w:hint="eastAsia" w:ascii="仿宋_GB2312" w:hAnsi="宋体" w:eastAsia="仿宋_GB2312" w:cs="Courier New"/>
          <w:sz w:val="32"/>
          <w:szCs w:val="32"/>
          <w:lang w:val="en-US" w:eastAsia="zh-CN"/>
        </w:rPr>
        <w:t>49</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185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年度政府采购支出总额</w:t>
      </w:r>
      <w:r>
        <w:rPr>
          <w:rFonts w:hint="eastAsia" w:ascii="仿宋_GB2312" w:hAnsi="宋体" w:eastAsia="仿宋_GB2312" w:cs="Courier New"/>
          <w:sz w:val="32"/>
          <w:szCs w:val="32"/>
          <w:lang w:val="en-US" w:eastAsia="zh-CN"/>
        </w:rPr>
        <w:t>1058.7</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123.7</w:t>
      </w:r>
      <w:r>
        <w:rPr>
          <w:rFonts w:hint="eastAsia" w:ascii="仿宋_GB2312" w:hAnsi="宋体" w:eastAsia="仿宋_GB2312" w:cs="Courier New"/>
          <w:sz w:val="32"/>
          <w:szCs w:val="32"/>
        </w:rPr>
        <w:t>万元，政府采购工程支出</w:t>
      </w:r>
      <w:r>
        <w:rPr>
          <w:rFonts w:hint="eastAsia" w:ascii="仿宋_GB2312" w:hAnsi="宋体" w:eastAsia="仿宋_GB2312" w:cs="Courier New"/>
          <w:sz w:val="32"/>
          <w:szCs w:val="32"/>
          <w:lang w:val="en-US" w:eastAsia="zh-CN"/>
        </w:rPr>
        <w:t>295</w:t>
      </w:r>
      <w:r>
        <w:rPr>
          <w:rFonts w:hint="eastAsia" w:ascii="仿宋_GB2312" w:hAnsi="宋体" w:eastAsia="仿宋_GB2312" w:cs="Courier New"/>
          <w:sz w:val="32"/>
          <w:szCs w:val="32"/>
        </w:rPr>
        <w:t>万元，政府采购服务支出</w:t>
      </w:r>
      <w:r>
        <w:rPr>
          <w:rFonts w:hint="eastAsia" w:ascii="仿宋_GB2312" w:hAnsi="宋体" w:eastAsia="仿宋_GB2312" w:cs="Courier New"/>
          <w:sz w:val="32"/>
          <w:szCs w:val="32"/>
          <w:lang w:val="en-US" w:eastAsia="zh-CN"/>
        </w:rPr>
        <w:t>640</w:t>
      </w:r>
      <w:r>
        <w:rPr>
          <w:rFonts w:hint="eastAsia" w:ascii="仿宋_GB2312" w:hAnsi="宋体" w:eastAsia="仿宋_GB2312" w:cs="Courier New"/>
          <w:sz w:val="32"/>
          <w:szCs w:val="32"/>
        </w:rPr>
        <w:t>万元。授予中小企业合同金额</w:t>
      </w:r>
      <w:r>
        <w:rPr>
          <w:rFonts w:hint="eastAsia" w:ascii="仿宋_GB2312" w:hAnsi="宋体" w:eastAsia="仿宋_GB2312" w:cs="Courier New"/>
          <w:sz w:val="32"/>
          <w:szCs w:val="32"/>
          <w:lang w:val="en-US" w:eastAsia="zh-CN"/>
        </w:rPr>
        <w:t>1058.7</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平顶山市食品药品监督管理局</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辆、一般执法执勤用车</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辆、特种专业技术用车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市级</w:t>
      </w:r>
      <w:r>
        <w:rPr>
          <w:rFonts w:hint="eastAsia" w:ascii="仿宋_GB2312" w:hAnsi="宋体" w:eastAsia="仿宋_GB2312" w:cs="Courier New"/>
          <w:sz w:val="32"/>
          <w:szCs w:val="32"/>
        </w:rPr>
        <w:t>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三</w:t>
      </w:r>
      <w:r>
        <w:rPr>
          <w:rFonts w:hint="eastAsia" w:ascii="仿宋_GB2312" w:hAnsi="宋体" w:eastAsia="仿宋_GB2312" w:cs="Courier New"/>
          <w:b/>
          <w:bCs/>
          <w:sz w:val="32"/>
          <w:szCs w:val="32"/>
        </w:rPr>
        <w:t>、年末结转和结余：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四</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五</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3" w:firstLineChars="200"/>
        <w:rPr>
          <w:rFonts w:hint="eastAsia" w:ascii="仿宋" w:hAnsi="仿宋" w:eastAsia="仿宋" w:cs="仿宋"/>
          <w:b w:val="0"/>
          <w:bCs w:val="0"/>
          <w:color w:val="000000"/>
          <w:sz w:val="32"/>
          <w:szCs w:val="32"/>
        </w:rPr>
      </w:pPr>
      <w:r>
        <w:rPr>
          <w:rFonts w:hint="eastAsia" w:ascii="仿宋_GB2312" w:hAnsi="宋体" w:eastAsia="仿宋_GB2312" w:cs="Courier New"/>
          <w:b/>
          <w:bCs/>
          <w:sz w:val="32"/>
          <w:szCs w:val="32"/>
          <w:lang w:val="en-US" w:eastAsia="zh-CN"/>
        </w:rPr>
        <w:t>六、一般公共服务支出</w:t>
      </w:r>
      <w:r>
        <w:rPr>
          <w:rFonts w:hint="eastAsia" w:ascii="仿宋_GB2312" w:hAnsi="宋体" w:eastAsia="仿宋_GB2312" w:cs="Courier New"/>
          <w:sz w:val="32"/>
          <w:szCs w:val="32"/>
          <w:lang w:val="en-US" w:eastAsia="zh-CN"/>
        </w:rPr>
        <w:t>:</w:t>
      </w:r>
      <w:r>
        <w:rPr>
          <w:rFonts w:hint="eastAsia" w:ascii="仿宋" w:hAnsi="仿宋" w:eastAsia="仿宋" w:cs="仿宋"/>
          <w:b w:val="0"/>
          <w:bCs w:val="0"/>
          <w:color w:val="000000"/>
          <w:sz w:val="32"/>
          <w:szCs w:val="32"/>
        </w:rPr>
        <w:t>反映政府</w:t>
      </w:r>
      <w:r>
        <w:rPr>
          <w:rFonts w:hint="eastAsia" w:ascii="仿宋" w:hAnsi="仿宋" w:eastAsia="仿宋" w:cs="仿宋"/>
          <w:b w:val="0"/>
          <w:bCs w:val="0"/>
          <w:color w:val="000000"/>
          <w:sz w:val="32"/>
          <w:szCs w:val="32"/>
          <w:lang w:val="en-US" w:eastAsia="zh-CN"/>
        </w:rPr>
        <w:t>提供一般公共服务的支出</w:t>
      </w:r>
    </w:p>
    <w:p>
      <w:pPr>
        <w:kinsoku w:val="0"/>
        <w:overflowPunct w:val="0"/>
        <w:autoSpaceDE w:val="0"/>
        <w:autoSpaceDN w:val="0"/>
        <w:adjustRightInd w:val="0"/>
        <w:snapToGrid w:val="0"/>
        <w:spacing w:line="360" w:lineRule="auto"/>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七、</w:t>
      </w:r>
      <w:r>
        <w:rPr>
          <w:rFonts w:hint="eastAsia" w:ascii="仿宋" w:hAnsi="仿宋" w:eastAsia="仿宋" w:cs="仿宋"/>
          <w:b/>
          <w:bCs/>
          <w:color w:val="000000"/>
          <w:sz w:val="32"/>
          <w:szCs w:val="32"/>
        </w:rPr>
        <w:t>社会保障和就业支出：</w:t>
      </w:r>
      <w:r>
        <w:rPr>
          <w:rFonts w:hint="eastAsia" w:ascii="仿宋" w:hAnsi="仿宋" w:eastAsia="仿宋" w:cs="仿宋"/>
          <w:color w:val="000000"/>
          <w:sz w:val="32"/>
          <w:szCs w:val="32"/>
        </w:rPr>
        <w:t>反映政府在社会保障与就业方面的支出。 </w:t>
      </w:r>
    </w:p>
    <w:p>
      <w:pPr>
        <w:spacing w:before="120" w:after="12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八、</w:t>
      </w:r>
      <w:r>
        <w:rPr>
          <w:rFonts w:hint="eastAsia" w:ascii="仿宋" w:hAnsi="仿宋" w:eastAsia="仿宋" w:cs="仿宋"/>
          <w:b/>
          <w:bCs/>
          <w:color w:val="000000"/>
          <w:sz w:val="32"/>
          <w:szCs w:val="32"/>
        </w:rPr>
        <w:t>医疗卫生与计划生育支出：</w:t>
      </w:r>
      <w:r>
        <w:rPr>
          <w:rFonts w:hint="eastAsia" w:ascii="仿宋" w:hAnsi="仿宋" w:eastAsia="仿宋" w:cs="仿宋"/>
          <w:color w:val="000000"/>
          <w:sz w:val="32"/>
          <w:szCs w:val="32"/>
        </w:rPr>
        <w:t>反映政府医疗卫生与计划生育方面的支出。 </w:t>
      </w:r>
    </w:p>
    <w:p>
      <w:pPr>
        <w:spacing w:before="120" w:after="120"/>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b/>
          <w:bCs/>
          <w:color w:val="000000"/>
          <w:sz w:val="32"/>
          <w:szCs w:val="32"/>
          <w:lang w:val="en-US" w:eastAsia="zh-CN"/>
        </w:rPr>
        <w:t>九</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住房保障支出：</w:t>
      </w:r>
      <w:r>
        <w:rPr>
          <w:rFonts w:hint="eastAsia" w:ascii="仿宋" w:hAnsi="仿宋" w:eastAsia="仿宋" w:cs="仿宋"/>
          <w:b w:val="0"/>
          <w:bCs w:val="0"/>
          <w:color w:val="000000"/>
          <w:sz w:val="32"/>
          <w:szCs w:val="32"/>
          <w:lang w:val="en-US" w:eastAsia="zh-CN"/>
        </w:rPr>
        <w:t>集中反映政府用于</w:t>
      </w:r>
      <w:r>
        <w:rPr>
          <w:rFonts w:hint="eastAsia" w:ascii="仿宋" w:hAnsi="仿宋" w:eastAsia="仿宋" w:cs="仿宋"/>
          <w:color w:val="000000"/>
          <w:sz w:val="32"/>
          <w:szCs w:val="32"/>
        </w:rPr>
        <w:t>住房</w:t>
      </w:r>
      <w:r>
        <w:rPr>
          <w:rFonts w:hint="eastAsia" w:ascii="仿宋" w:hAnsi="仿宋" w:eastAsia="仿宋" w:cs="仿宋"/>
          <w:color w:val="000000"/>
          <w:sz w:val="32"/>
          <w:szCs w:val="32"/>
          <w:lang w:val="en-US" w:eastAsia="zh-CN"/>
        </w:rPr>
        <w:t>方面的</w:t>
      </w:r>
      <w:r>
        <w:rPr>
          <w:rFonts w:hint="eastAsia" w:ascii="仿宋" w:hAnsi="仿宋" w:eastAsia="仿宋" w:cs="仿宋"/>
          <w:color w:val="000000"/>
          <w:sz w:val="32"/>
          <w:szCs w:val="32"/>
        </w:rPr>
        <w:t>支出。 </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十、“三公”经费：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市</w:t>
      </w:r>
      <w:r>
        <w:rPr>
          <w:rFonts w:hint="eastAsia" w:ascii="仿宋_GB2312" w:hAnsi="宋体" w:eastAsia="仿宋_GB2312" w:cs="Courier New"/>
          <w:sz w:val="32"/>
          <w:szCs w:val="32"/>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十一、机关运行经费：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000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Shruti">
    <w:altName w:val="Segoe UI Symbol"/>
    <w:panose1 w:val="020B0502040000020203"/>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4098"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- 2 -</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firstLine="420"/>
      </w:pPr>
      <w:rPr>
        <w:rFonts w:hint="eastAsia" w:cs="Times New Roman"/>
      </w:rPr>
    </w:lvl>
  </w:abstractNum>
  <w:abstractNum w:abstractNumId="1">
    <w:nsid w:val="00000001"/>
    <w:multiLevelType w:val="singleLevel"/>
    <w:tmpl w:val="00000001"/>
    <w:lvl w:ilvl="0" w:tentative="0">
      <w:start w:val="1"/>
      <w:numFmt w:val="chineseCounting"/>
      <w:suff w:val="nothing"/>
      <w:lvlText w:val="（%1）"/>
      <w:lvlJc w:val="left"/>
      <w:pPr>
        <w:ind w:firstLine="420"/>
      </w:pPr>
      <w:rPr>
        <w:rFonts w:hint="eastAsia" w:cs="Times New Roman"/>
      </w:rPr>
    </w:lvl>
  </w:abstractNum>
  <w:abstractNum w:abstractNumId="2">
    <w:nsid w:val="00000002"/>
    <w:multiLevelType w:val="singleLevel"/>
    <w:tmpl w:val="00000002"/>
    <w:lvl w:ilvl="0" w:tentative="0">
      <w:start w:val="1"/>
      <w:numFmt w:val="chineseCounting"/>
      <w:suff w:val="nothing"/>
      <w:lvlText w:val="%1、"/>
      <w:lvlJc w:val="left"/>
      <w:pPr>
        <w:ind w:firstLine="420"/>
      </w:pPr>
      <w:rPr>
        <w:rFonts w:hint="eastAsia" w:cs="Times New Roman"/>
      </w:rPr>
    </w:lvl>
  </w:abstractNum>
  <w:abstractNum w:abstractNumId="3">
    <w:nsid w:val="00000003"/>
    <w:multiLevelType w:val="singleLevel"/>
    <w:tmpl w:val="00000003"/>
    <w:lvl w:ilvl="0" w:tentative="0">
      <w:start w:val="2"/>
      <w:numFmt w:val="chineseCounting"/>
      <w:suff w:val="nothing"/>
      <w:lvlText w:val="%1、"/>
      <w:lvlJc w:val="left"/>
      <w:rPr>
        <w:rFonts w:cs="Times New Roman"/>
      </w:rPr>
    </w:lvl>
  </w:abstractNum>
  <w:abstractNum w:abstractNumId="4">
    <w:nsid w:val="00000005"/>
    <w:multiLevelType w:val="singleLevel"/>
    <w:tmpl w:val="00000005"/>
    <w:lvl w:ilvl="0" w:tentative="0">
      <w:start w:val="1"/>
      <w:numFmt w:val="chineseCounting"/>
      <w:suff w:val="nothing"/>
      <w:lvlText w:val="%1、"/>
      <w:lvlJc w:val="left"/>
      <w:rPr>
        <w:rFonts w:cs="Times New Roman"/>
      </w:rPr>
    </w:lvl>
  </w:abstractNum>
  <w:abstractNum w:abstractNumId="5">
    <w:nsid w:val="00000006"/>
    <w:multiLevelType w:val="multilevel"/>
    <w:tmpl w:val="0000000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00000007"/>
    <w:multiLevelType w:val="singleLevel"/>
    <w:tmpl w:val="00000007"/>
    <w:lvl w:ilvl="0" w:tentative="0">
      <w:start w:val="1"/>
      <w:numFmt w:val="chineseCounting"/>
      <w:suff w:val="nothing"/>
      <w:lvlText w:val="%1、"/>
      <w:lvlJc w:val="left"/>
      <w:pPr>
        <w:ind w:firstLine="420"/>
      </w:pPr>
      <w:rPr>
        <w:rFonts w:hint="eastAsia" w:cs="Times New Roman"/>
      </w:rPr>
    </w:lvl>
  </w:abstractNum>
  <w:abstractNum w:abstractNumId="7">
    <w:nsid w:val="59C9A609"/>
    <w:multiLevelType w:val="singleLevel"/>
    <w:tmpl w:val="59C9A609"/>
    <w:lvl w:ilvl="0" w:tentative="0">
      <w:start w:val="1"/>
      <w:numFmt w:val="chineseCounting"/>
      <w:suff w:val="nothing"/>
      <w:lvlText w:val="（%1)"/>
      <w:lvlJc w:val="left"/>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58F6B45"/>
    <w:rsid w:val="4D3845BA"/>
    <w:rsid w:val="5CC45A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99"/>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Footer Char_f7dd266b-8331-45b0-be82-402cc1737c92"/>
    <w:basedOn w:val="5"/>
    <w:link w:val="2"/>
    <w:uiPriority w:val="99"/>
    <w:rPr>
      <w:rFonts w:ascii="Calibri" w:hAnsi="Calibri" w:cs="Times New Roman"/>
      <w:sz w:val="18"/>
      <w:szCs w:val="18"/>
    </w:rPr>
  </w:style>
  <w:style w:type="character" w:customStyle="1" w:styleId="9">
    <w:name w:val="Header Char_a4c9f69f-180a-4e96-a482-81fd8f94271f"/>
    <w:basedOn w:val="5"/>
    <w:link w:val="3"/>
    <w:uiPriority w:val="99"/>
    <w:rPr>
      <w:rFonts w:ascii="Calibri" w:hAnsi="Calibri" w:cs="Times New Roman"/>
      <w:sz w:val="18"/>
      <w:szCs w:val="18"/>
    </w:rPr>
  </w:style>
  <w:style w:type="character" w:customStyle="1" w:styleId="10">
    <w:name w:val="font31"/>
    <w:basedOn w:val="5"/>
    <w:qFormat/>
    <w:uiPriority w:val="99"/>
    <w:rPr>
      <w:rFonts w:ascii="Arial" w:hAnsi="Arial" w:cs="Arial"/>
      <w:color w:val="000000"/>
      <w:sz w:val="16"/>
      <w:szCs w:val="16"/>
      <w:u w:val="none"/>
    </w:rPr>
  </w:style>
  <w:style w:type="character" w:customStyle="1" w:styleId="11">
    <w:name w:val="font01"/>
    <w:basedOn w:val="5"/>
    <w:qFormat/>
    <w:uiPriority w:val="99"/>
    <w:rPr>
      <w:rFonts w:ascii="Arial" w:hAnsi="Arial" w:cs="Arial"/>
      <w:color w:val="000000"/>
      <w:sz w:val="16"/>
      <w:szCs w:val="16"/>
      <w:u w:val="none"/>
    </w:rPr>
  </w:style>
  <w:style w:type="character" w:customStyle="1" w:styleId="12">
    <w:name w:val="font41"/>
    <w:basedOn w:val="5"/>
    <w:qFormat/>
    <w:uiPriority w:val="99"/>
    <w:rPr>
      <w:rFonts w:ascii="宋体" w:hAnsi="宋体" w:eastAsia="宋体" w:cs="宋体"/>
      <w:color w:val="000000"/>
      <w:sz w:val="16"/>
      <w:szCs w:val="16"/>
      <w:u w:val="none"/>
    </w:rPr>
  </w:style>
  <w:style w:type="paragraph" w:customStyle="1" w:styleId="13">
    <w:name w:val="p0"/>
    <w:basedOn w:val="1"/>
    <w:uiPriority w:val="0"/>
    <w:pPr>
      <w:widowControl/>
    </w:pPr>
    <w:rPr>
      <w:rFonts w:ascii="Times New Roman" w:hAnsi="Times New Roman"/>
      <w:kern w:val="0"/>
      <w:szCs w:val="21"/>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31</Pages>
  <Words>7507</Words>
  <Characters>10321</Characters>
  <Paragraphs>2340</Paragraphs>
  <ScaleCrop>false</ScaleCrop>
  <LinksUpToDate>false</LinksUpToDate>
  <CharactersWithSpaces>10816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刘晓</cp:lastModifiedBy>
  <cp:lastPrinted>2017-09-26T10:54:11Z</cp:lastPrinted>
  <dcterms:modified xsi:type="dcterms:W3CDTF">2017-09-26T12:13:30Z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