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FangSong_GB2312"/>
          <w:szCs w:val="32"/>
        </w:rPr>
      </w:pPr>
    </w:p>
    <w:tbl>
      <w:tblPr>
        <w:tblStyle w:val="3"/>
        <w:tblW w:w="8863" w:type="dxa"/>
        <w:tblInd w:w="93" w:type="dxa"/>
        <w:tblLayout w:type="fixed"/>
        <w:tblCellMar>
          <w:top w:w="0" w:type="dxa"/>
          <w:left w:w="108" w:type="dxa"/>
          <w:bottom w:w="0" w:type="dxa"/>
          <w:right w:w="108" w:type="dxa"/>
        </w:tblCellMar>
      </w:tblPr>
      <w:tblGrid>
        <w:gridCol w:w="496"/>
        <w:gridCol w:w="2759"/>
        <w:gridCol w:w="1285"/>
        <w:gridCol w:w="940"/>
        <w:gridCol w:w="3383"/>
      </w:tblGrid>
      <w:tr>
        <w:tblPrEx>
          <w:tblLayout w:type="fixed"/>
          <w:tblCellMar>
            <w:top w:w="0" w:type="dxa"/>
            <w:left w:w="108" w:type="dxa"/>
            <w:bottom w:w="0" w:type="dxa"/>
            <w:right w:w="108" w:type="dxa"/>
          </w:tblCellMar>
        </w:tblPrEx>
        <w:trPr>
          <w:trHeight w:val="1080" w:hRule="atLeast"/>
        </w:trPr>
        <w:tc>
          <w:tcPr>
            <w:tcW w:w="8863" w:type="dxa"/>
            <w:gridSpan w:val="5"/>
            <w:tcBorders>
              <w:top w:val="nil"/>
              <w:left w:val="nil"/>
              <w:bottom w:val="nil"/>
              <w:right w:val="nil"/>
            </w:tcBorders>
            <w:shd w:val="clear" w:color="auto" w:fill="auto"/>
            <w:noWrap w:val="0"/>
            <w:vAlign w:val="center"/>
          </w:tcPr>
          <w:p>
            <w:pPr>
              <w:widowControl/>
              <w:jc w:val="center"/>
              <w:rPr>
                <w:rFonts w:hint="eastAsia" w:ascii="方正小标宋_GBK" w:hAnsi="SimSun" w:eastAsia="方正小标宋_GBK" w:cs="SimSun"/>
                <w:bCs/>
                <w:kern w:val="0"/>
                <w:sz w:val="40"/>
                <w:szCs w:val="40"/>
              </w:rPr>
            </w:pPr>
            <w:bookmarkStart w:id="0" w:name="_GoBack"/>
            <w:bookmarkEnd w:id="0"/>
            <w:r>
              <w:rPr>
                <w:rFonts w:hint="eastAsia" w:ascii="方正小标宋_GBK" w:hAnsi="SimSun" w:eastAsia="方正小标宋_GBK" w:cs="SimSun"/>
                <w:bCs/>
                <w:kern w:val="0"/>
                <w:sz w:val="40"/>
                <w:szCs w:val="40"/>
              </w:rPr>
              <w:t>市政府决定取消和调整的行政许可事项目录</w:t>
            </w:r>
          </w:p>
        </w:tc>
      </w:tr>
      <w:tr>
        <w:tblPrEx>
          <w:tblLayout w:type="fixed"/>
          <w:tblCellMar>
            <w:top w:w="0" w:type="dxa"/>
            <w:left w:w="108" w:type="dxa"/>
            <w:bottom w:w="0" w:type="dxa"/>
            <w:right w:w="108" w:type="dxa"/>
          </w:tblCellMar>
        </w:tblPrEx>
        <w:trPr>
          <w:trHeight w:val="750"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60" w:lineRule="exact"/>
              <w:jc w:val="center"/>
              <w:rPr>
                <w:rFonts w:hint="eastAsia" w:ascii="FangSong_GB2312" w:hAnsi="SimSun" w:cs="SimSun"/>
                <w:kern w:val="0"/>
                <w:sz w:val="24"/>
              </w:rPr>
            </w:pPr>
            <w:r>
              <w:rPr>
                <w:rFonts w:hint="eastAsia" w:ascii="FangSong_GB2312" w:hAnsi="SimSun" w:cs="SimSun"/>
                <w:kern w:val="0"/>
                <w:sz w:val="24"/>
              </w:rPr>
              <w:t>序号</w:t>
            </w:r>
          </w:p>
        </w:tc>
        <w:tc>
          <w:tcPr>
            <w:tcW w:w="275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60" w:lineRule="exact"/>
              <w:jc w:val="center"/>
              <w:rPr>
                <w:rFonts w:hint="eastAsia" w:ascii="FangSong_GB2312" w:hAnsi="SimSun" w:cs="SimSun"/>
                <w:kern w:val="0"/>
                <w:sz w:val="24"/>
              </w:rPr>
            </w:pPr>
            <w:r>
              <w:rPr>
                <w:rFonts w:hint="eastAsia" w:ascii="FangSong_GB2312" w:hAnsi="SimSun" w:cs="SimSun"/>
                <w:kern w:val="0"/>
                <w:sz w:val="24"/>
              </w:rPr>
              <w:t>项目名称</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60" w:lineRule="exact"/>
              <w:jc w:val="center"/>
              <w:rPr>
                <w:rFonts w:hint="eastAsia" w:ascii="FangSong_GB2312" w:hAnsi="SimSun" w:cs="SimSun"/>
                <w:kern w:val="0"/>
                <w:sz w:val="24"/>
              </w:rPr>
            </w:pPr>
            <w:r>
              <w:rPr>
                <w:rFonts w:hint="eastAsia" w:ascii="FangSong_GB2312" w:hAnsi="SimSun" w:cs="SimSun"/>
                <w:kern w:val="0"/>
                <w:sz w:val="24"/>
              </w:rPr>
              <w:t>实施</w:t>
            </w:r>
          </w:p>
          <w:p>
            <w:pPr>
              <w:widowControl/>
              <w:spacing w:line="460" w:lineRule="exact"/>
              <w:jc w:val="center"/>
              <w:rPr>
                <w:rFonts w:hint="eastAsia" w:ascii="FangSong_GB2312" w:hAnsi="SimSun" w:cs="SimSun"/>
                <w:kern w:val="0"/>
                <w:sz w:val="24"/>
              </w:rPr>
            </w:pPr>
            <w:r>
              <w:rPr>
                <w:rFonts w:hint="eastAsia" w:ascii="FangSong_GB2312" w:hAnsi="SimSun" w:cs="SimSun"/>
                <w:kern w:val="0"/>
                <w:sz w:val="24"/>
              </w:rPr>
              <w:t>部门</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60" w:lineRule="exact"/>
              <w:jc w:val="center"/>
              <w:rPr>
                <w:rFonts w:hint="eastAsia" w:ascii="FangSong_GB2312" w:hAnsi="SimSun" w:cs="SimSun"/>
                <w:kern w:val="0"/>
                <w:sz w:val="24"/>
              </w:rPr>
            </w:pPr>
            <w:r>
              <w:rPr>
                <w:rFonts w:hint="eastAsia" w:ascii="FangSong_GB2312" w:hAnsi="SimSun" w:cs="SimSun"/>
                <w:kern w:val="0"/>
                <w:sz w:val="24"/>
              </w:rPr>
              <w:t>处理</w:t>
            </w:r>
          </w:p>
          <w:p>
            <w:pPr>
              <w:widowControl/>
              <w:spacing w:line="460" w:lineRule="exact"/>
              <w:jc w:val="center"/>
              <w:rPr>
                <w:rFonts w:hint="eastAsia" w:ascii="FangSong_GB2312" w:hAnsi="SimSun" w:cs="SimSun"/>
                <w:kern w:val="0"/>
                <w:sz w:val="24"/>
              </w:rPr>
            </w:pPr>
            <w:r>
              <w:rPr>
                <w:rFonts w:hint="eastAsia" w:ascii="FangSong_GB2312" w:hAnsi="SimSun" w:cs="SimSun"/>
                <w:kern w:val="0"/>
                <w:sz w:val="24"/>
              </w:rPr>
              <w:t>决定</w:t>
            </w:r>
          </w:p>
        </w:tc>
        <w:tc>
          <w:tcPr>
            <w:tcW w:w="338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60" w:lineRule="exact"/>
              <w:jc w:val="center"/>
              <w:rPr>
                <w:rFonts w:hint="eastAsia" w:ascii="FangSong_GB2312" w:hAnsi="SimSun" w:cs="SimSun"/>
                <w:kern w:val="0"/>
                <w:sz w:val="24"/>
              </w:rPr>
            </w:pPr>
            <w:r>
              <w:rPr>
                <w:rFonts w:hint="eastAsia" w:ascii="FangSong_GB2312" w:hAnsi="SimSun" w:cs="SimSun"/>
                <w:kern w:val="0"/>
                <w:sz w:val="24"/>
              </w:rPr>
              <w:t>备     注</w:t>
            </w:r>
          </w:p>
        </w:tc>
      </w:tr>
      <w:tr>
        <w:tblPrEx>
          <w:tblLayout w:type="fixed"/>
          <w:tblCellMar>
            <w:top w:w="0" w:type="dxa"/>
            <w:left w:w="108" w:type="dxa"/>
            <w:bottom w:w="0" w:type="dxa"/>
            <w:right w:w="108" w:type="dxa"/>
          </w:tblCellMar>
        </w:tblPrEx>
        <w:trPr>
          <w:trHeight w:val="945"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1</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跨省、自治区、直辖市或者在宗教活动场所外举办大型宗教活动审批</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hint="eastAsia" w:ascii="FangSong_GB2312" w:hAnsi="SimSun" w:cs="SimSun"/>
                <w:kern w:val="0"/>
                <w:sz w:val="24"/>
              </w:rPr>
            </w:pPr>
            <w:r>
              <w:rPr>
                <w:rFonts w:hint="eastAsia" w:ascii="FangSong_GB2312" w:hAnsi="SimSun" w:cs="SimSun"/>
                <w:kern w:val="0"/>
                <w:sz w:val="24"/>
              </w:rPr>
              <w:t>市民族</w:t>
            </w:r>
          </w:p>
          <w:p>
            <w:pPr>
              <w:widowControl/>
              <w:spacing w:line="460" w:lineRule="exact"/>
              <w:jc w:val="center"/>
              <w:rPr>
                <w:rFonts w:hint="eastAsia" w:ascii="FangSong_GB2312" w:hAnsi="SimSun" w:cs="SimSun"/>
                <w:kern w:val="0"/>
                <w:sz w:val="24"/>
              </w:rPr>
            </w:pPr>
            <w:r>
              <w:rPr>
                <w:rFonts w:hint="eastAsia" w:ascii="FangSong_GB2312" w:hAnsi="SimSun" w:cs="SimSun"/>
                <w:kern w:val="0"/>
                <w:sz w:val="24"/>
              </w:rPr>
              <w:t>宗教事务</w:t>
            </w:r>
          </w:p>
          <w:p>
            <w:pPr>
              <w:widowControl/>
              <w:spacing w:line="460" w:lineRule="exact"/>
              <w:jc w:val="center"/>
              <w:rPr>
                <w:rFonts w:ascii="FangSong_GB2312" w:hAnsi="SimSun" w:cs="SimSun"/>
                <w:kern w:val="0"/>
                <w:sz w:val="24"/>
              </w:rPr>
            </w:pPr>
            <w:r>
              <w:rPr>
                <w:rFonts w:hint="eastAsia" w:ascii="FangSong_GB2312" w:hAnsi="SimSun" w:cs="SimSun"/>
                <w:kern w:val="0"/>
                <w:sz w:val="24"/>
              </w:rPr>
              <w:t>委员会</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修改  名称</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名称修改为“举办大型宗教活动审批”</w:t>
            </w:r>
          </w:p>
        </w:tc>
      </w:tr>
      <w:tr>
        <w:tblPrEx>
          <w:tblLayout w:type="fixed"/>
          <w:tblCellMar>
            <w:top w:w="0" w:type="dxa"/>
            <w:left w:w="108" w:type="dxa"/>
            <w:bottom w:w="0" w:type="dxa"/>
            <w:right w:w="108" w:type="dxa"/>
          </w:tblCellMar>
        </w:tblPrEx>
        <w:trPr>
          <w:trHeight w:val="675"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2</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旅馆业特种行业许可证核发</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市公安局</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下放</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下放至县（市、区）公安机关审批</w:t>
            </w:r>
          </w:p>
        </w:tc>
      </w:tr>
      <w:tr>
        <w:tblPrEx>
          <w:tblLayout w:type="fixed"/>
          <w:tblCellMar>
            <w:top w:w="0" w:type="dxa"/>
            <w:left w:w="108" w:type="dxa"/>
            <w:bottom w:w="0" w:type="dxa"/>
            <w:right w:w="108" w:type="dxa"/>
          </w:tblCellMar>
        </w:tblPrEx>
        <w:trPr>
          <w:trHeight w:val="675"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3</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典当业特种行业许可证核发</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市公安局</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下放</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下放至县（市、区）公安机关审批</w:t>
            </w:r>
          </w:p>
        </w:tc>
      </w:tr>
      <w:tr>
        <w:tblPrEx>
          <w:tblLayout w:type="fixed"/>
          <w:tblCellMar>
            <w:top w:w="0" w:type="dxa"/>
            <w:left w:w="108" w:type="dxa"/>
            <w:bottom w:w="0" w:type="dxa"/>
            <w:right w:w="108" w:type="dxa"/>
          </w:tblCellMar>
        </w:tblPrEx>
        <w:trPr>
          <w:trHeight w:val="660"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4</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A级拆除爆破工程审批</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市公安局</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整合</w:t>
            </w:r>
          </w:p>
        </w:tc>
        <w:tc>
          <w:tcPr>
            <w:tcW w:w="338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整合后名称修改为“城市、风景名胜区和重要工程设施爆破作业的审批”</w:t>
            </w:r>
          </w:p>
        </w:tc>
      </w:tr>
      <w:tr>
        <w:tblPrEx>
          <w:tblLayout w:type="fixed"/>
          <w:tblCellMar>
            <w:top w:w="0" w:type="dxa"/>
            <w:left w:w="108" w:type="dxa"/>
            <w:bottom w:w="0" w:type="dxa"/>
            <w:right w:w="108" w:type="dxa"/>
          </w:tblCellMar>
        </w:tblPrEx>
        <w:trPr>
          <w:trHeight w:val="660"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5</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hint="eastAsia" w:ascii="FangSong_GB2312" w:hAnsi="SimSun" w:cs="SimSun"/>
                <w:kern w:val="0"/>
                <w:sz w:val="24"/>
              </w:rPr>
            </w:pPr>
            <w:r>
              <w:rPr>
                <w:rFonts w:hint="eastAsia" w:ascii="FangSong_GB2312" w:hAnsi="SimSun" w:cs="SimSun"/>
                <w:kern w:val="0"/>
                <w:sz w:val="24"/>
              </w:rPr>
              <w:t>城镇、风景名胜区附近</w:t>
            </w:r>
          </w:p>
          <w:p>
            <w:pPr>
              <w:widowControl/>
              <w:spacing w:line="460" w:lineRule="exact"/>
              <w:rPr>
                <w:rFonts w:ascii="FangSong_GB2312" w:hAnsi="SimSun" w:cs="SimSun"/>
                <w:kern w:val="0"/>
                <w:sz w:val="24"/>
              </w:rPr>
            </w:pPr>
            <w:r>
              <w:rPr>
                <w:rFonts w:hint="eastAsia" w:ascii="FangSong_GB2312" w:hAnsi="SimSun" w:cs="SimSun"/>
                <w:kern w:val="0"/>
                <w:sz w:val="24"/>
              </w:rPr>
              <w:t>爆破作业的审批</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市公安局</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整合</w:t>
            </w:r>
          </w:p>
        </w:tc>
        <w:tc>
          <w:tcPr>
            <w:tcW w:w="3383" w:type="dxa"/>
            <w:vMerge w:val="continue"/>
            <w:tcBorders>
              <w:top w:val="nil"/>
              <w:left w:val="single" w:color="auto" w:sz="4" w:space="0"/>
              <w:bottom w:val="single" w:color="auto" w:sz="4" w:space="0"/>
              <w:right w:val="single" w:color="auto" w:sz="4" w:space="0"/>
            </w:tcBorders>
            <w:noWrap w:val="0"/>
            <w:vAlign w:val="center"/>
          </w:tcPr>
          <w:p>
            <w:pPr>
              <w:widowControl/>
              <w:spacing w:line="460" w:lineRule="exact"/>
              <w:rPr>
                <w:rFonts w:ascii="FangSong_GB2312" w:hAnsi="SimSun" w:cs="SimSun"/>
                <w:kern w:val="0"/>
                <w:sz w:val="24"/>
              </w:rPr>
            </w:pPr>
          </w:p>
        </w:tc>
      </w:tr>
      <w:tr>
        <w:tblPrEx>
          <w:tblLayout w:type="fixed"/>
          <w:tblCellMar>
            <w:top w:w="0" w:type="dxa"/>
            <w:left w:w="108" w:type="dxa"/>
            <w:bottom w:w="0" w:type="dxa"/>
            <w:right w:w="108" w:type="dxa"/>
          </w:tblCellMar>
        </w:tblPrEx>
        <w:trPr>
          <w:trHeight w:val="660"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6</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台港澳居民在内地就业许可</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市人力资源和社会保障局</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取消</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取消后加强事中事后监管</w:t>
            </w:r>
          </w:p>
        </w:tc>
      </w:tr>
      <w:tr>
        <w:tblPrEx>
          <w:tblLayout w:type="fixed"/>
          <w:tblCellMar>
            <w:top w:w="0" w:type="dxa"/>
            <w:left w:w="108" w:type="dxa"/>
            <w:bottom w:w="0" w:type="dxa"/>
            <w:right w:w="108" w:type="dxa"/>
          </w:tblCellMar>
        </w:tblPrEx>
        <w:trPr>
          <w:trHeight w:val="660"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7</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建筑业企业三级资质许可</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修改  名称</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名称修改为“权限内建筑业企业资质许可”</w:t>
            </w:r>
          </w:p>
        </w:tc>
      </w:tr>
      <w:tr>
        <w:tblPrEx>
          <w:tblLayout w:type="fixed"/>
          <w:tblCellMar>
            <w:top w:w="0" w:type="dxa"/>
            <w:left w:w="108" w:type="dxa"/>
            <w:bottom w:w="0" w:type="dxa"/>
            <w:right w:w="108" w:type="dxa"/>
          </w:tblCellMar>
        </w:tblPrEx>
        <w:trPr>
          <w:trHeight w:val="900"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8</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燃气经营许可</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60" w:lineRule="exact"/>
              <w:jc w:val="center"/>
              <w:rPr>
                <w:rFonts w:ascii="FangSong_GB2312" w:hAnsi="SimSun" w:cs="SimSun"/>
                <w:kern w:val="0"/>
                <w:sz w:val="24"/>
              </w:rPr>
            </w:pPr>
            <w:r>
              <w:rPr>
                <w:rFonts w:hint="eastAsia" w:ascii="FangSong_GB2312" w:hAnsi="SimSun" w:cs="SimSun"/>
                <w:kern w:val="0"/>
                <w:sz w:val="24"/>
              </w:rPr>
              <w:t>承接</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60" w:lineRule="exact"/>
              <w:rPr>
                <w:rFonts w:ascii="FangSong_GB2312" w:hAnsi="SimSun" w:cs="SimSun"/>
                <w:kern w:val="0"/>
                <w:sz w:val="24"/>
              </w:rPr>
            </w:pPr>
            <w:r>
              <w:rPr>
                <w:rFonts w:hint="eastAsia" w:ascii="FangSong_GB2312" w:hAnsi="SimSun" w:cs="SimSun"/>
                <w:kern w:val="0"/>
                <w:sz w:val="24"/>
              </w:rPr>
              <w:t>承接省住房城乡建设厅下放的“从事管道燃气经营的企业燃气经营许可证核发”，承接后保留项目名称不变</w:t>
            </w:r>
          </w:p>
        </w:tc>
      </w:tr>
      <w:tr>
        <w:tblPrEx>
          <w:tblLayout w:type="fixed"/>
          <w:tblCellMar>
            <w:top w:w="0" w:type="dxa"/>
            <w:left w:w="108" w:type="dxa"/>
            <w:bottom w:w="0" w:type="dxa"/>
            <w:right w:w="108" w:type="dxa"/>
          </w:tblCellMar>
        </w:tblPrEx>
        <w:trPr>
          <w:trHeight w:val="1683"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9</w:t>
            </w:r>
          </w:p>
        </w:tc>
        <w:tc>
          <w:tcPr>
            <w:tcW w:w="275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工程建设涉及城市绿地、树木审批</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市住房和城乡建设管理局</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承接</w:t>
            </w:r>
          </w:p>
        </w:tc>
        <w:tc>
          <w:tcPr>
            <w:tcW w:w="338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承接省住房城乡建设厅下放的“临时占用城市绿地审批”和“城市古树名木移植批准”，承接后保留项目名称不变</w:t>
            </w:r>
          </w:p>
        </w:tc>
      </w:tr>
      <w:tr>
        <w:tblPrEx>
          <w:tblLayout w:type="fixed"/>
          <w:tblCellMar>
            <w:top w:w="0" w:type="dxa"/>
            <w:left w:w="108" w:type="dxa"/>
            <w:bottom w:w="0" w:type="dxa"/>
            <w:right w:w="108" w:type="dxa"/>
          </w:tblCellMar>
        </w:tblPrEx>
        <w:trPr>
          <w:trHeight w:val="660"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10</w:t>
            </w:r>
          </w:p>
        </w:tc>
        <w:tc>
          <w:tcPr>
            <w:tcW w:w="275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除限制使用农药以外其他农药经营许可证核发</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市农业局</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新增</w:t>
            </w:r>
          </w:p>
        </w:tc>
        <w:tc>
          <w:tcPr>
            <w:tcW w:w="338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　</w:t>
            </w:r>
          </w:p>
        </w:tc>
      </w:tr>
      <w:tr>
        <w:tblPrEx>
          <w:tblLayout w:type="fixed"/>
          <w:tblCellMar>
            <w:top w:w="0" w:type="dxa"/>
            <w:left w:w="108" w:type="dxa"/>
            <w:bottom w:w="0" w:type="dxa"/>
            <w:right w:w="108" w:type="dxa"/>
          </w:tblCellMar>
        </w:tblPrEx>
        <w:trPr>
          <w:trHeight w:val="1860"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11</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临时占用林地审批</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市林业局</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承接  调整</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承接省林业厅下放的“临时占用防护林或者特种用途林林地面积5公顷以下,其他林地面积10 公顷以下5公顷以上(含5 公顷)审批”，承接后保留项目名称不变。职权类别调整为“行政许可”</w:t>
            </w:r>
          </w:p>
        </w:tc>
      </w:tr>
      <w:tr>
        <w:tblPrEx>
          <w:tblLayout w:type="fixed"/>
          <w:tblCellMar>
            <w:top w:w="0" w:type="dxa"/>
            <w:left w:w="108" w:type="dxa"/>
            <w:bottom w:w="0" w:type="dxa"/>
            <w:right w:w="108" w:type="dxa"/>
          </w:tblCellMar>
        </w:tblPrEx>
        <w:trPr>
          <w:trHeight w:val="1290"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12</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医疗广告审查</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市卫生和计划生育委员会</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承接  调整</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承接省卫生计生委下放的“二级及以下医疗机构的医疗广告审查”，承接后保留项目名称不变。职权类别调整为“行政许可”</w:t>
            </w:r>
          </w:p>
        </w:tc>
      </w:tr>
      <w:tr>
        <w:tblPrEx>
          <w:tblLayout w:type="fixed"/>
          <w:tblCellMar>
            <w:top w:w="0" w:type="dxa"/>
            <w:left w:w="108" w:type="dxa"/>
            <w:bottom w:w="0" w:type="dxa"/>
            <w:right w:w="108" w:type="dxa"/>
          </w:tblCellMar>
        </w:tblPrEx>
        <w:trPr>
          <w:trHeight w:val="1329"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13</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医疗机构放射诊疗职业危害防护设施卫生审查及验收</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市卫生和计划生育委员会</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修改  名称</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名称修改为“医疗机构放射性职业病危害建设项目预评价报告审核及竣工验收”</w:t>
            </w:r>
          </w:p>
        </w:tc>
      </w:tr>
      <w:tr>
        <w:tblPrEx>
          <w:tblLayout w:type="fixed"/>
          <w:tblCellMar>
            <w:top w:w="0" w:type="dxa"/>
            <w:left w:w="108" w:type="dxa"/>
            <w:bottom w:w="0" w:type="dxa"/>
            <w:right w:w="108" w:type="dxa"/>
          </w:tblCellMar>
        </w:tblPrEx>
        <w:trPr>
          <w:trHeight w:val="1430"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14</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计划生育技术服务机构执业许可</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市卫生和计划生育委员会</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取消</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取消许可后，各级卫生和计划生育部门要加强事中事后监管</w:t>
            </w:r>
          </w:p>
        </w:tc>
      </w:tr>
      <w:tr>
        <w:tblPrEx>
          <w:tblLayout w:type="fixed"/>
          <w:tblCellMar>
            <w:top w:w="0" w:type="dxa"/>
            <w:left w:w="108" w:type="dxa"/>
            <w:bottom w:w="0" w:type="dxa"/>
            <w:right w:w="108" w:type="dxa"/>
          </w:tblCellMar>
        </w:tblPrEx>
        <w:trPr>
          <w:trHeight w:val="660"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15</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计划生育技术服务人员合格证核发</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市卫生和计划生育委员会</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取消</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取消许可后，各级卫生和计划生育部门要加强事中事后监管</w:t>
            </w:r>
          </w:p>
        </w:tc>
      </w:tr>
      <w:tr>
        <w:tblPrEx>
          <w:tblLayout w:type="fixed"/>
          <w:tblCellMar>
            <w:top w:w="0" w:type="dxa"/>
            <w:left w:w="108" w:type="dxa"/>
            <w:bottom w:w="0" w:type="dxa"/>
            <w:right w:w="108" w:type="dxa"/>
          </w:tblCellMar>
        </w:tblPrEx>
        <w:trPr>
          <w:trHeight w:val="1026"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16</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广告经营许可</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市工商局</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20" w:lineRule="exact"/>
              <w:jc w:val="center"/>
              <w:rPr>
                <w:rFonts w:ascii="FangSong_GB2312" w:hAnsi="SimSun" w:cs="SimSun"/>
                <w:kern w:val="0"/>
                <w:sz w:val="24"/>
              </w:rPr>
            </w:pPr>
            <w:r>
              <w:rPr>
                <w:rFonts w:hint="eastAsia" w:ascii="FangSong_GB2312" w:hAnsi="SimSun" w:cs="SimSun"/>
                <w:kern w:val="0"/>
                <w:sz w:val="24"/>
              </w:rPr>
              <w:t>修改  名称</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20" w:lineRule="exact"/>
              <w:rPr>
                <w:rFonts w:ascii="FangSong_GB2312" w:hAnsi="SimSun" w:cs="SimSun"/>
                <w:kern w:val="0"/>
                <w:sz w:val="24"/>
              </w:rPr>
            </w:pPr>
            <w:r>
              <w:rPr>
                <w:rFonts w:hint="eastAsia" w:ascii="FangSong_GB2312" w:hAnsi="SimSun" w:cs="SimSun"/>
                <w:kern w:val="0"/>
                <w:sz w:val="24"/>
              </w:rPr>
              <w:t>名称修改为“广告发布登记”</w:t>
            </w:r>
          </w:p>
        </w:tc>
      </w:tr>
      <w:tr>
        <w:tblPrEx>
          <w:tblLayout w:type="fixed"/>
          <w:tblCellMar>
            <w:top w:w="0" w:type="dxa"/>
            <w:left w:w="108" w:type="dxa"/>
            <w:bottom w:w="0" w:type="dxa"/>
            <w:right w:w="108" w:type="dxa"/>
          </w:tblCellMar>
        </w:tblPrEx>
        <w:trPr>
          <w:trHeight w:val="2625" w:hRule="atLeast"/>
        </w:trPr>
        <w:tc>
          <w:tcPr>
            <w:tcW w:w="49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17</w:t>
            </w:r>
          </w:p>
        </w:tc>
        <w:tc>
          <w:tcPr>
            <w:tcW w:w="275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制造、修理计量器具许可证签发</w:t>
            </w:r>
          </w:p>
        </w:tc>
        <w:tc>
          <w:tcPr>
            <w:tcW w:w="128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94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取消</w:t>
            </w:r>
          </w:p>
        </w:tc>
        <w:tc>
          <w:tcPr>
            <w:tcW w:w="3383"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取消许可后，各级质监部门采取以下措施加强事中事后监管：加强监督检查，重点从企业生产过程中执行标准、技术规范情况，相关技术人员、生产工艺、生产设备、检验检测设备的配置情况，生产的产品与型式批准证书、型式评价报告及产品合格证等证明材料的一致性情况等方面强化监督检查</w:t>
            </w:r>
          </w:p>
        </w:tc>
      </w:tr>
      <w:tr>
        <w:tblPrEx>
          <w:tblLayout w:type="fixed"/>
          <w:tblCellMar>
            <w:top w:w="0" w:type="dxa"/>
            <w:left w:w="108" w:type="dxa"/>
            <w:bottom w:w="0" w:type="dxa"/>
            <w:right w:w="108" w:type="dxa"/>
          </w:tblCellMar>
        </w:tblPrEx>
        <w:trPr>
          <w:trHeight w:val="2055"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18</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特种设备使用登记</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市质监局</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下放</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下放后，市质监局通过以下措施加强事中事后监管：加强统一管理，县（市、区）质监部门每季度统计上报审批情况；加强培训，指导县（市、区）质监部门依法办理审批事项；强化执法检查，依法查处违法行为</w:t>
            </w:r>
          </w:p>
        </w:tc>
      </w:tr>
      <w:tr>
        <w:tblPrEx>
          <w:tblLayout w:type="fixed"/>
          <w:tblCellMar>
            <w:top w:w="0" w:type="dxa"/>
            <w:left w:w="108" w:type="dxa"/>
            <w:bottom w:w="0" w:type="dxa"/>
            <w:right w:w="108" w:type="dxa"/>
          </w:tblCellMar>
        </w:tblPrEx>
        <w:trPr>
          <w:trHeight w:val="660" w:hRule="atLeast"/>
        </w:trPr>
        <w:tc>
          <w:tcPr>
            <w:tcW w:w="496"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19</w:t>
            </w:r>
          </w:p>
        </w:tc>
        <w:tc>
          <w:tcPr>
            <w:tcW w:w="2759" w:type="dxa"/>
            <w:tcBorders>
              <w:top w:val="nil"/>
              <w:left w:val="nil"/>
              <w:bottom w:val="single" w:color="auto" w:sz="4" w:space="0"/>
              <w:right w:val="single" w:color="auto" w:sz="4" w:space="0"/>
            </w:tcBorders>
            <w:shd w:val="clear" w:color="auto" w:fill="auto"/>
            <w:noWrap w:val="0"/>
            <w:vAlign w:val="center"/>
          </w:tcPr>
          <w:p>
            <w:pPr>
              <w:widowControl/>
              <w:spacing w:line="400" w:lineRule="exact"/>
              <w:rPr>
                <w:rFonts w:ascii="FangSong_GB2312" w:hAnsi="SimSun" w:cs="SimSun"/>
                <w:kern w:val="0"/>
                <w:sz w:val="24"/>
              </w:rPr>
            </w:pPr>
            <w:r>
              <w:rPr>
                <w:rFonts w:hint="eastAsia" w:ascii="FangSong_GB2312" w:hAnsi="SimSun" w:cs="SimSun"/>
                <w:kern w:val="0"/>
                <w:sz w:val="24"/>
              </w:rPr>
              <w:t>跨省引进乳用种用动物检疫审批</w:t>
            </w:r>
          </w:p>
        </w:tc>
        <w:tc>
          <w:tcPr>
            <w:tcW w:w="1285"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市畜牧局</w:t>
            </w:r>
          </w:p>
        </w:tc>
        <w:tc>
          <w:tcPr>
            <w:tcW w:w="940"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承接</w:t>
            </w:r>
          </w:p>
        </w:tc>
        <w:tc>
          <w:tcPr>
            <w:tcW w:w="3383" w:type="dxa"/>
            <w:tcBorders>
              <w:top w:val="nil"/>
              <w:left w:val="nil"/>
              <w:bottom w:val="single" w:color="auto" w:sz="4" w:space="0"/>
              <w:right w:val="single" w:color="auto" w:sz="4" w:space="0"/>
            </w:tcBorders>
            <w:shd w:val="clear" w:color="auto" w:fill="auto"/>
            <w:noWrap w:val="0"/>
            <w:vAlign w:val="center"/>
          </w:tcPr>
          <w:p>
            <w:pPr>
              <w:widowControl/>
              <w:spacing w:line="400" w:lineRule="exact"/>
              <w:jc w:val="center"/>
              <w:rPr>
                <w:rFonts w:ascii="FangSong_GB2312" w:hAnsi="SimSun" w:cs="SimSun"/>
                <w:kern w:val="0"/>
                <w:sz w:val="24"/>
              </w:rPr>
            </w:pPr>
            <w:r>
              <w:rPr>
                <w:rFonts w:hint="eastAsia" w:ascii="FangSong_GB2312" w:hAnsi="SimSun" w:cs="SimSun"/>
                <w:kern w:val="0"/>
                <w:sz w:val="24"/>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Times New Roman"/>
    <w:panose1 w:val="02010609030101010101"/>
    <w:charset w:val="86"/>
    <w:family w:val="modern"/>
    <w:pitch w:val="default"/>
    <w:sig w:usb0="00000000" w:usb1="00000000" w:usb2="00000000" w:usb3="00000000" w:csb0="00040000" w:csb1="00000000"/>
  </w:font>
  <w:font w:name="方正小标宋_GBK">
    <w:altName w:val="Microsoft YaHei"/>
    <w:panose1 w:val="03000509000000000000"/>
    <w:charset w:val="86"/>
    <w:family w:val="script"/>
    <w:pitch w:val="default"/>
    <w:sig w:usb0="00000000" w:usb1="00000000" w:usb2="00000010" w:usb3="00000000" w:csb0="00040000" w:csb1="00000000"/>
  </w:font>
  <w:font w:name="Microsoft YaHei">
    <w:panose1 w:val="020B0503020204020204"/>
    <w:charset w:val="86"/>
    <w:family w:val="auto"/>
    <w:pitch w:val="default"/>
    <w:sig w:usb0="80000287" w:usb1="280F3C52" w:usb2="00000016" w:usb3="00000000" w:csb0="0004001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80632"/>
    <w:rsid w:val="7048063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FangSong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2018-11-27T00:59:00Z</dcterms:created>
  <dc:creator>江南风</dc:creator>
  <cp:lastModifiedBy>江南风</cp:lastModifiedBy>
  <dcterms:modified xsi:type="dcterms:W3CDTF">2018-11-27T00:59:25Z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