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tblInd w:w="-902" w:type="dxa"/>
        <w:tblLayout w:type="fixed"/>
        <w:tblCellMar>
          <w:top w:w="15" w:type="dxa"/>
          <w:left w:w="15" w:type="dxa"/>
          <w:bottom w:w="15" w:type="dxa"/>
          <w:right w:w="15" w:type="dxa"/>
        </w:tblCellMar>
        <w:tblLook w:val="00A0" w:firstRow="1" w:lastRow="0" w:firstColumn="1" w:lastColumn="0" w:noHBand="0" w:noVBand="0"/>
      </w:tblPr>
      <w:tblGrid>
        <w:gridCol w:w="705"/>
        <w:gridCol w:w="886"/>
        <w:gridCol w:w="1436"/>
        <w:gridCol w:w="1166"/>
        <w:gridCol w:w="65"/>
        <w:gridCol w:w="1232"/>
        <w:gridCol w:w="751"/>
        <w:gridCol w:w="499"/>
        <w:gridCol w:w="500"/>
        <w:gridCol w:w="750"/>
        <w:gridCol w:w="1250"/>
        <w:gridCol w:w="1260"/>
      </w:tblGrid>
      <w:tr w:rsidR="003A06B9" w:rsidRPr="0003669B" w:rsidTr="00816D27">
        <w:trPr>
          <w:trHeight w:val="375"/>
        </w:trPr>
        <w:tc>
          <w:tcPr>
            <w:tcW w:w="10500" w:type="dxa"/>
            <w:gridSpan w:val="12"/>
            <w:vAlign w:val="bottom"/>
          </w:tcPr>
          <w:p w:rsidR="003A06B9" w:rsidRDefault="003A06B9" w:rsidP="00816D27">
            <w:pPr>
              <w:widowControl/>
              <w:jc w:val="center"/>
              <w:textAlignment w:val="bottom"/>
              <w:rPr>
                <w:rFonts w:ascii="黑体" w:eastAsia="黑体" w:hAnsi="宋体" w:cs="黑体"/>
                <w:color w:val="000000"/>
                <w:sz w:val="28"/>
                <w:szCs w:val="28"/>
              </w:rPr>
            </w:pPr>
            <w:bookmarkStart w:id="0" w:name="_GoBack"/>
            <w:r>
              <w:rPr>
                <w:rFonts w:ascii="黑体" w:eastAsia="黑体" w:hAnsi="宋体" w:cs="黑体" w:hint="eastAsia"/>
                <w:color w:val="000000"/>
                <w:kern w:val="0"/>
                <w:sz w:val="28"/>
                <w:szCs w:val="28"/>
              </w:rPr>
              <w:t>政府性基金预算财政拨款收入支出决算表</w:t>
            </w:r>
            <w:bookmarkEnd w:id="0"/>
          </w:p>
        </w:tc>
      </w:tr>
      <w:tr w:rsidR="003A06B9" w:rsidRPr="0003669B" w:rsidTr="00816D27">
        <w:trPr>
          <w:trHeight w:val="285"/>
        </w:trPr>
        <w:tc>
          <w:tcPr>
            <w:tcW w:w="1591" w:type="dxa"/>
            <w:gridSpan w:val="2"/>
            <w:vAlign w:val="center"/>
          </w:tcPr>
          <w:p w:rsidR="003A06B9" w:rsidRDefault="003A06B9" w:rsidP="00816D27">
            <w:pPr>
              <w:rPr>
                <w:rFonts w:ascii="宋体" w:cs="宋体"/>
                <w:color w:val="000000"/>
                <w:sz w:val="16"/>
                <w:szCs w:val="16"/>
              </w:rPr>
            </w:pPr>
          </w:p>
        </w:tc>
        <w:tc>
          <w:tcPr>
            <w:tcW w:w="1436" w:type="dxa"/>
            <w:vAlign w:val="center"/>
          </w:tcPr>
          <w:p w:rsidR="003A06B9" w:rsidRDefault="003A06B9" w:rsidP="00816D27">
            <w:pPr>
              <w:rPr>
                <w:rFonts w:ascii="宋体" w:cs="宋体"/>
                <w:color w:val="000000"/>
                <w:sz w:val="16"/>
                <w:szCs w:val="16"/>
              </w:rPr>
            </w:pPr>
          </w:p>
        </w:tc>
        <w:tc>
          <w:tcPr>
            <w:tcW w:w="1166" w:type="dxa"/>
            <w:vAlign w:val="center"/>
          </w:tcPr>
          <w:p w:rsidR="003A06B9" w:rsidRDefault="003A06B9" w:rsidP="00816D27">
            <w:pPr>
              <w:rPr>
                <w:rFonts w:ascii="宋体" w:cs="宋体"/>
                <w:color w:val="000000"/>
                <w:sz w:val="16"/>
                <w:szCs w:val="16"/>
              </w:rPr>
            </w:pPr>
          </w:p>
        </w:tc>
        <w:tc>
          <w:tcPr>
            <w:tcW w:w="1297" w:type="dxa"/>
            <w:gridSpan w:val="2"/>
            <w:vAlign w:val="center"/>
          </w:tcPr>
          <w:p w:rsidR="003A06B9" w:rsidRDefault="003A06B9" w:rsidP="00816D27">
            <w:pPr>
              <w:rPr>
                <w:rFonts w:ascii="宋体" w:cs="宋体"/>
                <w:color w:val="000000"/>
                <w:sz w:val="16"/>
                <w:szCs w:val="16"/>
              </w:rPr>
            </w:pPr>
          </w:p>
        </w:tc>
        <w:tc>
          <w:tcPr>
            <w:tcW w:w="751" w:type="dxa"/>
            <w:vAlign w:val="center"/>
          </w:tcPr>
          <w:p w:rsidR="003A06B9" w:rsidRDefault="003A06B9" w:rsidP="00816D27">
            <w:pPr>
              <w:rPr>
                <w:rFonts w:ascii="宋体" w:cs="宋体"/>
                <w:color w:val="000000"/>
                <w:sz w:val="16"/>
                <w:szCs w:val="16"/>
              </w:rPr>
            </w:pPr>
          </w:p>
        </w:tc>
        <w:tc>
          <w:tcPr>
            <w:tcW w:w="999" w:type="dxa"/>
            <w:gridSpan w:val="2"/>
            <w:vAlign w:val="center"/>
          </w:tcPr>
          <w:p w:rsidR="003A06B9" w:rsidRDefault="003A06B9" w:rsidP="00816D27">
            <w:pPr>
              <w:rPr>
                <w:rFonts w:ascii="宋体" w:cs="宋体"/>
                <w:color w:val="000000"/>
                <w:sz w:val="16"/>
                <w:szCs w:val="16"/>
              </w:rPr>
            </w:pPr>
          </w:p>
        </w:tc>
        <w:tc>
          <w:tcPr>
            <w:tcW w:w="2000" w:type="dxa"/>
            <w:gridSpan w:val="2"/>
            <w:vAlign w:val="center"/>
          </w:tcPr>
          <w:p w:rsidR="003A06B9" w:rsidRDefault="003A06B9" w:rsidP="00816D27">
            <w:pPr>
              <w:rPr>
                <w:rFonts w:ascii="宋体" w:cs="宋体"/>
                <w:color w:val="000000"/>
                <w:sz w:val="16"/>
                <w:szCs w:val="16"/>
              </w:rPr>
            </w:pPr>
          </w:p>
        </w:tc>
        <w:tc>
          <w:tcPr>
            <w:tcW w:w="1260" w:type="dxa"/>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公开</w:t>
            </w:r>
            <w:r>
              <w:rPr>
                <w:rFonts w:ascii="宋体" w:hAnsi="宋体" w:cs="宋体"/>
                <w:color w:val="000000"/>
                <w:kern w:val="0"/>
                <w:sz w:val="16"/>
                <w:szCs w:val="16"/>
              </w:rPr>
              <w:t>08</w:t>
            </w:r>
            <w:r>
              <w:rPr>
                <w:rFonts w:ascii="宋体" w:hAnsi="宋体" w:cs="宋体" w:hint="eastAsia"/>
                <w:color w:val="000000"/>
                <w:kern w:val="0"/>
                <w:sz w:val="16"/>
                <w:szCs w:val="16"/>
              </w:rPr>
              <w:t>表</w:t>
            </w:r>
          </w:p>
        </w:tc>
      </w:tr>
      <w:tr w:rsidR="003A06B9" w:rsidRPr="0003669B" w:rsidTr="00816D27">
        <w:trPr>
          <w:trHeight w:val="270"/>
        </w:trPr>
        <w:tc>
          <w:tcPr>
            <w:tcW w:w="1591" w:type="dxa"/>
            <w:gridSpan w:val="2"/>
            <w:vAlign w:val="center"/>
          </w:tcPr>
          <w:p w:rsidR="003A06B9" w:rsidRDefault="003A06B9" w:rsidP="00816D27">
            <w:pPr>
              <w:rPr>
                <w:rFonts w:ascii="宋体" w:cs="宋体"/>
                <w:color w:val="000000"/>
                <w:sz w:val="16"/>
                <w:szCs w:val="16"/>
              </w:rPr>
            </w:pPr>
          </w:p>
        </w:tc>
        <w:tc>
          <w:tcPr>
            <w:tcW w:w="1436" w:type="dxa"/>
            <w:vAlign w:val="center"/>
          </w:tcPr>
          <w:p w:rsidR="003A06B9" w:rsidRDefault="003A06B9" w:rsidP="00816D27">
            <w:pPr>
              <w:rPr>
                <w:rFonts w:ascii="宋体" w:cs="宋体"/>
                <w:color w:val="000000"/>
                <w:sz w:val="16"/>
                <w:szCs w:val="16"/>
              </w:rPr>
            </w:pPr>
          </w:p>
        </w:tc>
        <w:tc>
          <w:tcPr>
            <w:tcW w:w="1166" w:type="dxa"/>
            <w:vAlign w:val="center"/>
          </w:tcPr>
          <w:p w:rsidR="003A06B9" w:rsidRDefault="003A06B9" w:rsidP="00816D27">
            <w:pPr>
              <w:rPr>
                <w:rFonts w:ascii="宋体" w:cs="宋体"/>
                <w:color w:val="000000"/>
                <w:sz w:val="16"/>
                <w:szCs w:val="16"/>
              </w:rPr>
            </w:pPr>
          </w:p>
        </w:tc>
        <w:tc>
          <w:tcPr>
            <w:tcW w:w="1297" w:type="dxa"/>
            <w:gridSpan w:val="2"/>
            <w:vAlign w:val="center"/>
          </w:tcPr>
          <w:p w:rsidR="003A06B9" w:rsidRDefault="003A06B9" w:rsidP="00816D27">
            <w:pPr>
              <w:rPr>
                <w:rFonts w:ascii="宋体" w:cs="宋体"/>
                <w:color w:val="000000"/>
                <w:sz w:val="16"/>
                <w:szCs w:val="16"/>
              </w:rPr>
            </w:pPr>
          </w:p>
        </w:tc>
        <w:tc>
          <w:tcPr>
            <w:tcW w:w="751" w:type="dxa"/>
            <w:vAlign w:val="center"/>
          </w:tcPr>
          <w:p w:rsidR="003A06B9" w:rsidRDefault="003A06B9" w:rsidP="00816D27">
            <w:pPr>
              <w:rPr>
                <w:rFonts w:ascii="宋体" w:cs="宋体"/>
                <w:color w:val="000000"/>
                <w:sz w:val="16"/>
                <w:szCs w:val="16"/>
              </w:rPr>
            </w:pPr>
          </w:p>
        </w:tc>
        <w:tc>
          <w:tcPr>
            <w:tcW w:w="999" w:type="dxa"/>
            <w:gridSpan w:val="2"/>
            <w:vAlign w:val="center"/>
          </w:tcPr>
          <w:p w:rsidR="003A06B9" w:rsidRDefault="003A06B9" w:rsidP="00816D27">
            <w:pPr>
              <w:rPr>
                <w:rFonts w:ascii="宋体" w:cs="宋体"/>
                <w:color w:val="000000"/>
                <w:sz w:val="16"/>
                <w:szCs w:val="16"/>
              </w:rPr>
            </w:pPr>
          </w:p>
        </w:tc>
        <w:tc>
          <w:tcPr>
            <w:tcW w:w="2000" w:type="dxa"/>
            <w:gridSpan w:val="2"/>
            <w:vAlign w:val="center"/>
          </w:tcPr>
          <w:p w:rsidR="003A06B9" w:rsidRDefault="003A06B9" w:rsidP="00816D27">
            <w:pPr>
              <w:rPr>
                <w:rFonts w:ascii="宋体" w:cs="宋体"/>
                <w:color w:val="000000"/>
                <w:sz w:val="16"/>
                <w:szCs w:val="16"/>
              </w:rPr>
            </w:pPr>
          </w:p>
        </w:tc>
        <w:tc>
          <w:tcPr>
            <w:tcW w:w="1260" w:type="dxa"/>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hint="eastAsia"/>
                <w:color w:val="000000"/>
                <w:kern w:val="0"/>
                <w:sz w:val="16"/>
                <w:szCs w:val="16"/>
              </w:rPr>
              <w:t>单位：万元</w:t>
            </w:r>
          </w:p>
        </w:tc>
      </w:tr>
      <w:tr w:rsidR="003A06B9" w:rsidRPr="0003669B" w:rsidTr="00816D27">
        <w:trPr>
          <w:trHeight w:val="285"/>
        </w:trPr>
        <w:tc>
          <w:tcPr>
            <w:tcW w:w="3027" w:type="dxa"/>
            <w:gridSpan w:val="3"/>
            <w:tcBorders>
              <w:top w:val="single" w:sz="12" w:space="0" w:color="000000"/>
              <w:left w:val="single" w:sz="12"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proofErr w:type="gramStart"/>
            <w:r>
              <w:rPr>
                <w:rFonts w:ascii="宋体" w:hAnsi="宋体" w:cs="宋体" w:hint="eastAsia"/>
                <w:b/>
                <w:color w:val="000000"/>
                <w:kern w:val="0"/>
                <w:sz w:val="16"/>
                <w:szCs w:val="16"/>
              </w:rPr>
              <w:t xml:space="preserve">项　　</w:t>
            </w:r>
            <w:proofErr w:type="gramEnd"/>
            <w:r>
              <w:rPr>
                <w:rFonts w:ascii="宋体" w:hAnsi="宋体" w:cs="宋体" w:hint="eastAsia"/>
                <w:b/>
                <w:color w:val="000000"/>
                <w:kern w:val="0"/>
                <w:sz w:val="16"/>
                <w:szCs w:val="16"/>
              </w:rPr>
              <w:t>目</w:t>
            </w:r>
          </w:p>
        </w:tc>
        <w:tc>
          <w:tcPr>
            <w:tcW w:w="1231" w:type="dxa"/>
            <w:gridSpan w:val="2"/>
            <w:vMerge w:val="restart"/>
            <w:tcBorders>
              <w:top w:val="single" w:sz="12" w:space="0" w:color="000000"/>
              <w:left w:val="single" w:sz="4"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年初结转和结余</w:t>
            </w:r>
          </w:p>
        </w:tc>
        <w:tc>
          <w:tcPr>
            <w:tcW w:w="1232" w:type="dxa"/>
            <w:vMerge w:val="restart"/>
            <w:tcBorders>
              <w:top w:val="single" w:sz="12" w:space="0" w:color="000000"/>
              <w:left w:val="single" w:sz="4"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本年收入</w:t>
            </w:r>
          </w:p>
        </w:tc>
        <w:tc>
          <w:tcPr>
            <w:tcW w:w="3750" w:type="dxa"/>
            <w:gridSpan w:val="5"/>
            <w:tcBorders>
              <w:top w:val="single" w:sz="12" w:space="0" w:color="000000"/>
              <w:left w:val="single" w:sz="4"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本年支出</w:t>
            </w:r>
          </w:p>
        </w:tc>
        <w:tc>
          <w:tcPr>
            <w:tcW w:w="1260" w:type="dxa"/>
            <w:vMerge w:val="restart"/>
            <w:tcBorders>
              <w:top w:val="single" w:sz="12" w:space="0" w:color="000000"/>
              <w:left w:val="single" w:sz="4" w:space="0" w:color="000000"/>
              <w:bottom w:val="single" w:sz="4" w:space="0" w:color="000000"/>
              <w:right w:val="single" w:sz="12"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年末结转和结余</w:t>
            </w:r>
          </w:p>
        </w:tc>
      </w:tr>
      <w:tr w:rsidR="003A06B9" w:rsidRPr="0003669B" w:rsidTr="00816D27">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功能分类</w:t>
            </w:r>
            <w:r>
              <w:rPr>
                <w:rFonts w:ascii="宋体" w:cs="宋体"/>
                <w:b/>
                <w:color w:val="000000"/>
                <w:kern w:val="0"/>
                <w:sz w:val="16"/>
                <w:szCs w:val="16"/>
              </w:rPr>
              <w:br/>
            </w:r>
            <w:r>
              <w:rPr>
                <w:rFonts w:ascii="宋体" w:hAnsi="宋体" w:cs="宋体" w:hint="eastAsia"/>
                <w:b/>
                <w:color w:val="000000"/>
                <w:kern w:val="0"/>
                <w:sz w:val="16"/>
                <w:szCs w:val="16"/>
              </w:rPr>
              <w:t>科目编码</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科目名称</w:t>
            </w:r>
          </w:p>
        </w:tc>
        <w:tc>
          <w:tcPr>
            <w:tcW w:w="1231" w:type="dxa"/>
            <w:gridSpan w:val="2"/>
            <w:vMerge/>
            <w:tcBorders>
              <w:top w:val="single" w:sz="12" w:space="0" w:color="000000"/>
              <w:left w:val="single" w:sz="4" w:space="0" w:color="000000"/>
              <w:bottom w:val="single" w:sz="4" w:space="0" w:color="000000"/>
              <w:right w:val="single" w:sz="4" w:space="0" w:color="000000"/>
            </w:tcBorders>
            <w:vAlign w:val="center"/>
          </w:tcPr>
          <w:p w:rsidR="003A06B9" w:rsidRDefault="003A06B9" w:rsidP="00816D27">
            <w:pPr>
              <w:jc w:val="center"/>
              <w:rPr>
                <w:rFonts w:ascii="宋体" w:cs="宋体"/>
                <w:b/>
                <w:color w:val="000000"/>
                <w:sz w:val="16"/>
                <w:szCs w:val="16"/>
              </w:rPr>
            </w:pPr>
          </w:p>
        </w:tc>
        <w:tc>
          <w:tcPr>
            <w:tcW w:w="1232" w:type="dxa"/>
            <w:vMerge/>
            <w:tcBorders>
              <w:top w:val="single" w:sz="12" w:space="0" w:color="000000"/>
              <w:left w:val="single" w:sz="4" w:space="0" w:color="000000"/>
              <w:bottom w:val="single" w:sz="4" w:space="0" w:color="000000"/>
              <w:right w:val="single" w:sz="4" w:space="0" w:color="000000"/>
            </w:tcBorders>
            <w:vAlign w:val="center"/>
          </w:tcPr>
          <w:p w:rsidR="003A06B9" w:rsidRDefault="003A06B9" w:rsidP="00816D27">
            <w:pPr>
              <w:jc w:val="center"/>
              <w:rPr>
                <w:rFonts w:ascii="宋体" w:cs="宋体"/>
                <w:b/>
                <w:color w:val="00000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小计</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基本支出</w:t>
            </w: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项目支出</w:t>
            </w:r>
          </w:p>
        </w:tc>
        <w:tc>
          <w:tcPr>
            <w:tcW w:w="1260" w:type="dxa"/>
            <w:vMerge/>
            <w:tcBorders>
              <w:top w:val="single" w:sz="12" w:space="0" w:color="000000"/>
              <w:left w:val="single" w:sz="4" w:space="0" w:color="000000"/>
              <w:bottom w:val="single" w:sz="4" w:space="0" w:color="000000"/>
              <w:right w:val="single" w:sz="12" w:space="0" w:color="000000"/>
            </w:tcBorders>
            <w:vAlign w:val="center"/>
          </w:tcPr>
          <w:p w:rsidR="003A06B9" w:rsidRDefault="003A06B9" w:rsidP="00816D27">
            <w:pPr>
              <w:jc w:val="center"/>
              <w:rPr>
                <w:rFonts w:ascii="宋体" w:cs="宋体"/>
                <w:b/>
                <w:color w:val="000000"/>
                <w:sz w:val="16"/>
                <w:szCs w:val="16"/>
              </w:rPr>
            </w:pPr>
          </w:p>
        </w:tc>
      </w:tr>
      <w:tr w:rsidR="003A06B9" w:rsidRPr="0003669B" w:rsidTr="00816D27">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栏次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sz="4" w:space="0" w:color="000000"/>
              <w:left w:val="single" w:sz="4" w:space="0" w:color="000000"/>
              <w:bottom w:val="single" w:sz="4" w:space="0" w:color="000000"/>
              <w:right w:val="single" w:sz="12"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rsidR="003A06B9" w:rsidRPr="0003669B" w:rsidTr="00816D27">
        <w:trPr>
          <w:trHeight w:val="285"/>
        </w:trPr>
        <w:tc>
          <w:tcPr>
            <w:tcW w:w="3027" w:type="dxa"/>
            <w:gridSpan w:val="3"/>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center"/>
              <w:textAlignment w:val="center"/>
              <w:rPr>
                <w:rFonts w:ascii="宋体" w:cs="宋体"/>
                <w:b/>
                <w:color w:val="000000"/>
                <w:sz w:val="16"/>
                <w:szCs w:val="16"/>
              </w:rPr>
            </w:pPr>
            <w:r>
              <w:rPr>
                <w:rFonts w:ascii="宋体" w:hAnsi="宋体" w:cs="宋体" w:hint="eastAsia"/>
                <w:b/>
                <w:color w:val="000000"/>
                <w:kern w:val="0"/>
                <w:sz w:val="16"/>
                <w:szCs w:val="16"/>
              </w:rPr>
              <w:t>合计</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3A06B9" w:rsidRPr="0003669B" w:rsidTr="00816D27">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b/>
                <w:color w:val="000000"/>
                <w:sz w:val="16"/>
                <w:szCs w:val="16"/>
              </w:rPr>
            </w:pPr>
            <w:r>
              <w:rPr>
                <w:rFonts w:ascii="宋体" w:hAnsi="宋体" w:cs="宋体"/>
                <w:b/>
                <w:color w:val="000000"/>
                <w:kern w:val="0"/>
                <w:sz w:val="16"/>
                <w:szCs w:val="16"/>
              </w:rPr>
              <w:t>207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文化体育与传媒支出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3A06B9" w:rsidRPr="0003669B" w:rsidTr="00816D27">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color w:val="000000"/>
                <w:kern w:val="0"/>
                <w:sz w:val="16"/>
                <w:szCs w:val="16"/>
              </w:rPr>
              <w:t>20707</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国家电影事业发展专项资金及对应专项债务收入安排的支出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3A06B9" w:rsidRPr="0003669B" w:rsidTr="00816D27">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color w:val="000000"/>
                <w:kern w:val="0"/>
                <w:sz w:val="16"/>
                <w:szCs w:val="16"/>
              </w:rPr>
              <w:t>2070701</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资助国产影片放映</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3A06B9" w:rsidRPr="0003669B" w:rsidTr="00816D27">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color w:val="000000"/>
                <w:kern w:val="0"/>
                <w:sz w:val="16"/>
                <w:szCs w:val="16"/>
              </w:rPr>
              <w:t>2070702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资助城市影院</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3A06B9" w:rsidRPr="0003669B" w:rsidTr="00816D27">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color w:val="000000"/>
                <w:kern w:val="0"/>
                <w:sz w:val="16"/>
                <w:szCs w:val="16"/>
              </w:rPr>
              <w:t>2070703</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资助少数民族电影译制</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3A06B9" w:rsidRPr="0003669B" w:rsidTr="00816D27">
        <w:trPr>
          <w:trHeight w:val="420"/>
        </w:trPr>
        <w:tc>
          <w:tcPr>
            <w:tcW w:w="705" w:type="dxa"/>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color w:val="000000"/>
                <w:kern w:val="0"/>
                <w:sz w:val="16"/>
                <w:szCs w:val="16"/>
              </w:rPr>
              <w:t>2070799</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其他国家电影事业发展专项资金支出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3A06B9" w:rsidRPr="0003669B" w:rsidTr="00816D27">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b/>
                <w:color w:val="000000"/>
                <w:sz w:val="16"/>
                <w:szCs w:val="16"/>
              </w:rPr>
            </w:pPr>
            <w:r>
              <w:rPr>
                <w:rFonts w:ascii="宋体" w:hAnsi="宋体" w:cs="宋体"/>
                <w:b/>
                <w:color w:val="000000"/>
                <w:kern w:val="0"/>
                <w:sz w:val="16"/>
                <w:szCs w:val="16"/>
              </w:rPr>
              <w:t>208</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b/>
                <w:color w:val="000000"/>
                <w:sz w:val="16"/>
                <w:szCs w:val="16"/>
              </w:rPr>
            </w:pPr>
            <w:r>
              <w:rPr>
                <w:rFonts w:ascii="宋体" w:hAnsi="宋体" w:cs="宋体" w:hint="eastAsia"/>
                <w:b/>
                <w:color w:val="000000"/>
                <w:kern w:val="0"/>
                <w:sz w:val="16"/>
                <w:szCs w:val="16"/>
              </w:rPr>
              <w:t>社会保障和就业支出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3A06B9" w:rsidRDefault="003A06B9" w:rsidP="00816D27">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rsidR="003A06B9" w:rsidRPr="0003669B" w:rsidTr="00816D27">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color w:val="000000"/>
                <w:kern w:val="0"/>
                <w:sz w:val="16"/>
                <w:szCs w:val="16"/>
              </w:rPr>
              <w:t>20822</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大中型水库移民后期扶持基金支出</w:t>
            </w: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sz="4" w:space="0" w:color="000000"/>
              <w:left w:val="single" w:sz="4" w:space="0" w:color="000000"/>
              <w:bottom w:val="single" w:sz="4" w:space="0" w:color="000000"/>
              <w:right w:val="single" w:sz="12" w:space="0" w:color="000000"/>
            </w:tcBorders>
            <w:vAlign w:val="center"/>
          </w:tcPr>
          <w:p w:rsidR="003A06B9" w:rsidRDefault="003A06B9" w:rsidP="00816D27">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rsidR="003A06B9" w:rsidRPr="0003669B" w:rsidTr="00816D27">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r>
      <w:tr w:rsidR="003A06B9" w:rsidRPr="0003669B" w:rsidTr="00816D27">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r>
      <w:tr w:rsidR="003A06B9" w:rsidRPr="0003669B" w:rsidTr="00816D27">
        <w:trPr>
          <w:trHeight w:val="285"/>
        </w:trPr>
        <w:tc>
          <w:tcPr>
            <w:tcW w:w="705" w:type="dxa"/>
            <w:tcBorders>
              <w:top w:val="single" w:sz="4" w:space="0" w:color="000000"/>
              <w:left w:val="single" w:sz="12"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kern w:val="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left"/>
              <w:textAlignment w:val="center"/>
              <w:rPr>
                <w:rFonts w:ascii="宋体" w:cs="宋体"/>
                <w:color w:val="000000"/>
                <w:kern w:val="0"/>
                <w:sz w:val="16"/>
                <w:szCs w:val="16"/>
              </w:rPr>
            </w:pPr>
          </w:p>
        </w:tc>
        <w:tc>
          <w:tcPr>
            <w:tcW w:w="1231"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50" w:type="dxa"/>
            <w:tcBorders>
              <w:top w:val="single" w:sz="4" w:space="0" w:color="000000"/>
              <w:left w:val="single" w:sz="4" w:space="0" w:color="000000"/>
              <w:bottom w:val="single" w:sz="4" w:space="0" w:color="000000"/>
              <w:right w:val="single" w:sz="4"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c>
          <w:tcPr>
            <w:tcW w:w="1260" w:type="dxa"/>
            <w:tcBorders>
              <w:top w:val="single" w:sz="4" w:space="0" w:color="000000"/>
              <w:left w:val="single" w:sz="4" w:space="0" w:color="000000"/>
              <w:bottom w:val="single" w:sz="4" w:space="0" w:color="000000"/>
              <w:right w:val="single" w:sz="12" w:space="0" w:color="000000"/>
            </w:tcBorders>
            <w:vAlign w:val="center"/>
          </w:tcPr>
          <w:p w:rsidR="003A06B9" w:rsidRDefault="003A06B9" w:rsidP="00816D27">
            <w:pPr>
              <w:widowControl/>
              <w:jc w:val="right"/>
              <w:textAlignment w:val="center"/>
              <w:rPr>
                <w:rFonts w:ascii="宋体" w:cs="宋体"/>
                <w:color w:val="000000"/>
                <w:kern w:val="0"/>
                <w:sz w:val="16"/>
                <w:szCs w:val="16"/>
              </w:rPr>
            </w:pPr>
          </w:p>
        </w:tc>
      </w:tr>
      <w:tr w:rsidR="003A06B9" w:rsidRPr="0003669B" w:rsidTr="00816D27">
        <w:trPr>
          <w:trHeight w:val="270"/>
        </w:trPr>
        <w:tc>
          <w:tcPr>
            <w:tcW w:w="705" w:type="dxa"/>
            <w:tcBorders>
              <w:top w:val="single" w:sz="4" w:space="0" w:color="000000"/>
              <w:left w:val="single" w:sz="12" w:space="0" w:color="000000"/>
              <w:bottom w:val="single" w:sz="12"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w:t>
            </w:r>
          </w:p>
        </w:tc>
        <w:tc>
          <w:tcPr>
            <w:tcW w:w="2322" w:type="dxa"/>
            <w:gridSpan w:val="2"/>
            <w:tcBorders>
              <w:top w:val="single" w:sz="4" w:space="0" w:color="000000"/>
              <w:left w:val="single" w:sz="4" w:space="0" w:color="000000"/>
              <w:bottom w:val="single" w:sz="12" w:space="0" w:color="000000"/>
              <w:right w:val="single" w:sz="4" w:space="0" w:color="000000"/>
            </w:tcBorders>
            <w:vAlign w:val="center"/>
          </w:tcPr>
          <w:p w:rsidR="003A06B9" w:rsidRDefault="003A06B9" w:rsidP="00816D27">
            <w:pPr>
              <w:widowControl/>
              <w:jc w:val="left"/>
              <w:textAlignment w:val="center"/>
              <w:rPr>
                <w:rFonts w:ascii="宋体" w:cs="宋体"/>
                <w:color w:val="000000"/>
                <w:sz w:val="16"/>
                <w:szCs w:val="16"/>
              </w:rPr>
            </w:pPr>
          </w:p>
        </w:tc>
        <w:tc>
          <w:tcPr>
            <w:tcW w:w="1231" w:type="dxa"/>
            <w:gridSpan w:val="2"/>
            <w:tcBorders>
              <w:top w:val="single" w:sz="4" w:space="0" w:color="000000"/>
              <w:left w:val="single" w:sz="4" w:space="0" w:color="000000"/>
              <w:bottom w:val="single" w:sz="12"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p>
        </w:tc>
        <w:tc>
          <w:tcPr>
            <w:tcW w:w="1232" w:type="dxa"/>
            <w:tcBorders>
              <w:top w:val="single" w:sz="4" w:space="0" w:color="000000"/>
              <w:left w:val="single" w:sz="4" w:space="0" w:color="000000"/>
              <w:bottom w:val="single" w:sz="12"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p>
        </w:tc>
        <w:tc>
          <w:tcPr>
            <w:tcW w:w="1250" w:type="dxa"/>
            <w:gridSpan w:val="2"/>
            <w:tcBorders>
              <w:top w:val="single" w:sz="4" w:space="0" w:color="000000"/>
              <w:left w:val="single" w:sz="4" w:space="0" w:color="000000"/>
              <w:bottom w:val="single" w:sz="12"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p>
        </w:tc>
        <w:tc>
          <w:tcPr>
            <w:tcW w:w="1250" w:type="dxa"/>
            <w:tcBorders>
              <w:top w:val="single" w:sz="4" w:space="0" w:color="000000"/>
              <w:left w:val="single" w:sz="4" w:space="0" w:color="000000"/>
              <w:bottom w:val="single" w:sz="12" w:space="0" w:color="000000"/>
              <w:right w:val="single" w:sz="4" w:space="0" w:color="000000"/>
            </w:tcBorders>
            <w:vAlign w:val="center"/>
          </w:tcPr>
          <w:p w:rsidR="003A06B9" w:rsidRDefault="003A06B9" w:rsidP="00816D27">
            <w:pPr>
              <w:widowControl/>
              <w:jc w:val="right"/>
              <w:textAlignment w:val="center"/>
              <w:rPr>
                <w:rFonts w:ascii="宋体" w:cs="宋体"/>
                <w:color w:val="000000"/>
                <w:sz w:val="16"/>
                <w:szCs w:val="16"/>
              </w:rPr>
            </w:pPr>
          </w:p>
        </w:tc>
        <w:tc>
          <w:tcPr>
            <w:tcW w:w="1260" w:type="dxa"/>
            <w:tcBorders>
              <w:top w:val="single" w:sz="4" w:space="0" w:color="000000"/>
              <w:left w:val="single" w:sz="4" w:space="0" w:color="000000"/>
              <w:bottom w:val="single" w:sz="12" w:space="0" w:color="000000"/>
              <w:right w:val="single" w:sz="12" w:space="0" w:color="000000"/>
            </w:tcBorders>
            <w:vAlign w:val="center"/>
          </w:tcPr>
          <w:p w:rsidR="003A06B9" w:rsidRDefault="003A06B9" w:rsidP="00816D27">
            <w:pPr>
              <w:widowControl/>
              <w:jc w:val="right"/>
              <w:textAlignment w:val="center"/>
              <w:rPr>
                <w:rFonts w:ascii="宋体" w:cs="宋体"/>
                <w:color w:val="000000"/>
                <w:sz w:val="16"/>
                <w:szCs w:val="16"/>
              </w:rPr>
            </w:pPr>
          </w:p>
        </w:tc>
      </w:tr>
      <w:tr w:rsidR="003A06B9" w:rsidRPr="0003669B" w:rsidTr="00816D27">
        <w:trPr>
          <w:trHeight w:val="285"/>
        </w:trPr>
        <w:tc>
          <w:tcPr>
            <w:tcW w:w="10500" w:type="dxa"/>
            <w:gridSpan w:val="12"/>
            <w:vAlign w:val="center"/>
          </w:tcPr>
          <w:p w:rsidR="003A06B9" w:rsidRDefault="003A06B9" w:rsidP="00816D27">
            <w:pPr>
              <w:widowControl/>
              <w:jc w:val="left"/>
              <w:textAlignment w:val="center"/>
              <w:rPr>
                <w:rFonts w:ascii="宋体" w:cs="宋体"/>
                <w:color w:val="000000"/>
                <w:sz w:val="16"/>
                <w:szCs w:val="16"/>
              </w:rPr>
            </w:pPr>
            <w:r>
              <w:rPr>
                <w:rFonts w:ascii="宋体" w:hAnsi="宋体" w:cs="宋体" w:hint="eastAsia"/>
                <w:color w:val="000000"/>
                <w:kern w:val="0"/>
                <w:sz w:val="16"/>
                <w:szCs w:val="16"/>
              </w:rPr>
              <w:t>注：本表反映部门本年度政府性基金预算财政拨款收入支出及结转和结余情况。</w:t>
            </w:r>
          </w:p>
        </w:tc>
      </w:tr>
      <w:tr w:rsidR="003A06B9" w:rsidRPr="0003669B" w:rsidTr="00816D27">
        <w:trPr>
          <w:trHeight w:val="285"/>
        </w:trPr>
        <w:tc>
          <w:tcPr>
            <w:tcW w:w="10500" w:type="dxa"/>
            <w:gridSpan w:val="12"/>
            <w:vAlign w:val="center"/>
          </w:tcPr>
          <w:p w:rsidR="003A06B9" w:rsidRDefault="003A06B9" w:rsidP="00816D27">
            <w:pPr>
              <w:widowControl/>
              <w:jc w:val="left"/>
              <w:textAlignment w:val="center"/>
              <w:rPr>
                <w:rFonts w:ascii="宋体" w:cs="宋体"/>
                <w:b/>
                <w:color w:val="FF0000"/>
                <w:sz w:val="20"/>
                <w:szCs w:val="20"/>
              </w:rPr>
            </w:pPr>
            <w:r>
              <w:rPr>
                <w:rFonts w:ascii="宋体" w:hAnsi="宋体" w:cs="宋体" w:hint="eastAsia"/>
                <w:b/>
                <w:color w:val="FF0000"/>
                <w:kern w:val="0"/>
                <w:sz w:val="20"/>
                <w:szCs w:val="20"/>
              </w:rPr>
              <w:t>（该报表全部数据为零时）说明：</w:t>
            </w:r>
            <w:r>
              <w:rPr>
                <w:rFonts w:ascii="宋体" w:hAnsi="宋体" w:cs="宋体"/>
                <w:b/>
                <w:color w:val="FF0000"/>
                <w:kern w:val="0"/>
                <w:sz w:val="20"/>
                <w:szCs w:val="20"/>
              </w:rPr>
              <w:t>xx</w:t>
            </w:r>
            <w:r>
              <w:rPr>
                <w:rFonts w:ascii="宋体" w:hAnsi="宋体" w:cs="宋体" w:hint="eastAsia"/>
                <w:b/>
                <w:color w:val="FF0000"/>
                <w:kern w:val="0"/>
                <w:sz w:val="20"/>
                <w:szCs w:val="20"/>
              </w:rPr>
              <w:t>厅（局）没有政府性基金收入，也没有使用政府性基金安排的支出，故本表无数据。</w:t>
            </w:r>
          </w:p>
        </w:tc>
      </w:tr>
    </w:tbl>
    <w:p w:rsidR="003A64F6" w:rsidRPr="003A06B9" w:rsidRDefault="003A64F6" w:rsidP="003A06B9"/>
    <w:sectPr w:rsidR="003A64F6" w:rsidRPr="003A06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28"/>
    <w:rsid w:val="00177ABE"/>
    <w:rsid w:val="0032334E"/>
    <w:rsid w:val="003A06B9"/>
    <w:rsid w:val="003A64F6"/>
    <w:rsid w:val="003F0028"/>
    <w:rsid w:val="00860BDE"/>
    <w:rsid w:val="008D1A04"/>
    <w:rsid w:val="00AF4C03"/>
    <w:rsid w:val="00DB1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FE100-8B70-4638-A57B-C4609ACD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02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Company>China</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2018-09-21T01:43:00Z</dcterms:created>
  <dcterms:modified xsi:type="dcterms:W3CDTF">2018-09-21T01:43:00Z</dcterms:modified>
</cp:coreProperties>
</file>