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rPr>
          <w:rFonts w:hint="eastAsia" w:ascii="宋体" w:hAnsi="宋体" w:eastAsia="黑体" w:cs="仿宋"/>
          <w:bCs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after="0" w:line="540" w:lineRule="exact"/>
        <w:jc w:val="center"/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4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17"/>
          <w:sz w:val="44"/>
          <w:szCs w:val="44"/>
          <w14:textFill>
            <w14:solidFill>
              <w14:schemeClr w14:val="tx1"/>
            </w14:solidFill>
          </w14:textFill>
        </w:rPr>
        <w:t>平顶山市纪检监察系统</w:t>
      </w: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17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和市委巡察机构</w:t>
      </w: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40"/>
          <w:sz w:val="44"/>
          <w:szCs w:val="44"/>
          <w14:textFill>
            <w14:solidFill>
              <w14:schemeClr w14:val="tx1"/>
            </w14:solidFill>
          </w14:textFill>
        </w:rPr>
        <w:t>2019年</w:t>
      </w:r>
    </w:p>
    <w:p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after="0" w:line="540" w:lineRule="exact"/>
        <w:jc w:val="center"/>
        <w:rPr>
          <w:rFonts w:ascii="方正小标宋简体" w:hAnsi="方正小标宋_GBK" w:eastAsia="方正小标宋简体" w:cs="方正小标宋_GBK"/>
          <w:bCs/>
          <w:color w:val="000000" w:themeColor="text1"/>
          <w:spacing w:val="-4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40"/>
          <w:sz w:val="44"/>
          <w:szCs w:val="44"/>
          <w14:textFill>
            <w14:solidFill>
              <w14:schemeClr w14:val="tx1"/>
            </w14:solidFill>
          </w14:textFill>
        </w:rPr>
        <w:t>公开考试选</w:t>
      </w:r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4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用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Cs/>
          <w:color w:val="000000" w:themeColor="text1"/>
          <w:spacing w:val="-40"/>
          <w:sz w:val="44"/>
          <w:szCs w:val="44"/>
          <w14:textFill>
            <w14:solidFill>
              <w14:schemeClr w14:val="tx1"/>
            </w14:solidFill>
          </w14:textFill>
        </w:rPr>
        <w:t>工作人员</w:t>
      </w:r>
      <w:r>
        <w:rPr>
          <w:rFonts w:ascii="Times New Roman" w:hAnsi="Times New Roman" w:eastAsia="方正小标宋简体"/>
          <w:bCs/>
          <w:color w:val="000000" w:themeColor="text1"/>
          <w:spacing w:val="-40"/>
          <w:sz w:val="44"/>
          <w:szCs w:val="44"/>
          <w14:textFill>
            <w14:solidFill>
              <w14:schemeClr w14:val="tx1"/>
            </w14:solidFill>
          </w14:textFill>
        </w:rPr>
        <w:t>专业设置指导目录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right="-343" w:rightChars="-156"/>
        <w:jc w:val="center"/>
        <w:rPr>
          <w:rFonts w:ascii="宋体" w:hAnsi="宋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文秘类：汉语言文学、汉语言、汉语国际教育、中国少数民族语言文学、古典文献学、应用语言学、文秘、秘书学、哲学、逻辑学、宗教学、伦理学、美学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法律类：法学、法律、知识产权、法学理论、法律史、宪法学与行政法学、刑法学、民商法学、讼诉法学、经济法学、环境与资源保护法学、国际法学、军事法学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历史学类：历史学、世界史、考古学、文物与博物馆学、文物保护技术、外国语言与外国历史、历史地理学、历史文献学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新闻传播学类：新闻学、广播电视学、广告学、传播学、编辑出版学、网络与新媒体、数字出版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经济学类：经济学、经济统计学、国民经济管理、资源与环境经济学、商务经济学、能源经济、国际经济与贸易、贸易经济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财会金融类：财政学、税收学、金融学、金融工</w:t>
      </w:r>
      <w:r>
        <w:rPr>
          <w:rFonts w:ascii="Times New Roman" w:hAnsi="仿宋_GB2312" w:eastAsia="仿宋_GB2312"/>
          <w:color w:val="000000" w:themeColor="text1"/>
          <w:spacing w:val="-11"/>
          <w:sz w:val="34"/>
          <w:szCs w:val="34"/>
          <w14:textFill>
            <w14:solidFill>
              <w14:schemeClr w14:val="tx1"/>
            </w14:solidFill>
          </w14:textFill>
        </w:rPr>
        <w:t>程、保险学、投资学、金融数学、信用管理、经济与金融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计算机类：计算机科学与技术、软件工程、网络工程、信息安全、物联网工程、数字媒体技术、智能科学与技术、空间信息与数字技术、电子与计算机工程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14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监所管理类：监狱学、刑事执行、刑事侦查技术、行政执行、监狱管理、监所管理、司法信息技术、司法信息安全、司法警务、司法鉴定技术、狱内侦查、社区矫正、强制隔离戒毒管理、戒毒矫治技术、毒品犯罪矫治、涉毒人员矫治、罪犯心理测量与矫正技术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firstLine="680" w:firstLineChars="200"/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仿宋_GB2312" w:eastAsia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司法行政警察类：法律硕士（监所管理与罪犯矫正方向），监狱学、侦查学，刑事执行、刑事侦查技术、罪犯心理测量与矫正技术、行政执行、戒毒矫治技术、司法信息安全</w:t>
      </w:r>
    </w:p>
    <w:p/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5EFC"/>
    <w:rsid w:val="440F73E2"/>
    <w:rsid w:val="4A5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叶落知秋</cp:lastModifiedBy>
  <dcterms:modified xsi:type="dcterms:W3CDTF">2019-12-13T12:16:14Z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