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bookmarkStart w:id="0" w:name="_GoBack"/>
      <w:bookmarkEnd w:id="0"/>
    </w:p>
    <w:p>
      <w:pPr>
        <w:jc w:val="center"/>
        <w:rPr>
          <w:rFonts w:ascii="黑体" w:hAnsi="黑体" w:eastAsia="黑体" w:cs="黑体"/>
          <w:sz w:val="52"/>
          <w:szCs w:val="52"/>
        </w:rPr>
      </w:pPr>
      <w:r>
        <w:rPr>
          <w:rFonts w:hint="eastAsia" w:ascii="黑体" w:hAnsi="黑体" w:eastAsia="黑体" w:cs="黑体"/>
          <w:sz w:val="52"/>
          <w:szCs w:val="52"/>
        </w:rPr>
        <w:t>平顶山市人力资源和社会保障局</w:t>
      </w:r>
    </w:p>
    <w:p>
      <w:pPr>
        <w:jc w:val="center"/>
        <w:rPr>
          <w:rFonts w:ascii="黑体" w:hAnsi="黑体" w:eastAsia="黑体" w:cs="黑体"/>
          <w:sz w:val="52"/>
          <w:szCs w:val="52"/>
        </w:rPr>
      </w:pPr>
      <w:r>
        <w:rPr>
          <w:rFonts w:ascii="黑体" w:hAnsi="黑体" w:eastAsia="黑体" w:cs="黑体"/>
          <w:sz w:val="52"/>
          <w:szCs w:val="52"/>
        </w:rPr>
        <w:t>201</w:t>
      </w:r>
      <w:r>
        <w:rPr>
          <w:rFonts w:hint="eastAsia" w:ascii="黑体" w:hAnsi="黑体" w:eastAsia="黑体" w:cs="黑体"/>
          <w:sz w:val="52"/>
          <w:szCs w:val="52"/>
        </w:rPr>
        <w:t>8年度部门决算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footerReference r:id="rId4" w:type="default"/>
          <w:headerReference r:id="rId3" w:type="even"/>
          <w:footerReference r:id="rId5" w:type="even"/>
          <w:pgSz w:w="11906" w:h="16838"/>
          <w:pgMar w:top="2098" w:right="1474" w:bottom="1985" w:left="1588" w:header="851" w:footer="1588" w:gutter="0"/>
          <w:pgBorders>
            <w:top w:val="none" w:sz="0" w:space="0"/>
            <w:left w:val="none" w:sz="0" w:space="0"/>
            <w:bottom w:val="none" w:sz="0" w:space="0"/>
            <w:right w:val="none" w:sz="0" w:space="0"/>
          </w:pgBorders>
          <w:pgNumType w:fmt="numberInDash" w:start="0"/>
          <w:cols w:space="720" w:num="1"/>
          <w:titlePg/>
          <w:docGrid w:type="lines" w:linePitch="579" w:charSpace="0"/>
        </w:sectPr>
      </w:pPr>
      <w:r>
        <w:rPr>
          <w:rFonts w:hint="eastAsia" w:ascii="黑体" w:hAnsi="黑体" w:eastAsia="黑体" w:cs="黑体"/>
          <w:sz w:val="32"/>
          <w:szCs w:val="32"/>
        </w:rPr>
        <w:t>二〇一九年九月</w:t>
      </w:r>
    </w:p>
    <w:p>
      <w:pPr>
        <w:jc w:val="center"/>
        <w:rPr>
          <w:rFonts w:ascii="方正小标宋_GBK" w:hAnsi="仿宋" w:eastAsia="方正小标宋_GBK" w:cs="黑体"/>
          <w:sz w:val="40"/>
          <w:szCs w:val="40"/>
        </w:rPr>
      </w:pPr>
      <w:r>
        <w:rPr>
          <w:rFonts w:hint="eastAsia" w:ascii="方正小标宋_GBK" w:hAnsi="仿宋" w:eastAsia="方正小标宋_GBK" w:cs="黑体"/>
          <w:sz w:val="40"/>
          <w:szCs w:val="40"/>
        </w:rPr>
        <w:t>目　　录</w:t>
      </w:r>
    </w:p>
    <w:p>
      <w:pPr>
        <w:jc w:val="left"/>
        <w:rPr>
          <w:rFonts w:ascii="仿宋_GB2312" w:hAnsi="仿宋" w:eastAsia="仿宋_GB2312"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第一部分　　平顶山市人力资源和社会保障局概况</w:t>
      </w:r>
    </w:p>
    <w:p>
      <w:pPr>
        <w:numPr>
          <w:ilvl w:val="0"/>
          <w:numId w:val="1"/>
        </w:num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主要职责</w:t>
      </w:r>
    </w:p>
    <w:p>
      <w:pPr>
        <w:numPr>
          <w:ilvl w:val="0"/>
          <w:numId w:val="1"/>
        </w:num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机构设置</w:t>
      </w:r>
    </w:p>
    <w:p>
      <w:pPr>
        <w:ind w:firstLine="640" w:firstLineChars="200"/>
        <w:rPr>
          <w:rFonts w:ascii="黑体" w:hAnsi="黑体" w:eastAsia="黑体" w:cs="黑体"/>
          <w:sz w:val="32"/>
          <w:szCs w:val="32"/>
        </w:rPr>
      </w:pPr>
      <w:r>
        <w:rPr>
          <w:rFonts w:hint="eastAsia" w:ascii="黑体" w:hAnsi="黑体" w:eastAsia="黑体" w:cs="黑体"/>
          <w:sz w:val="32"/>
          <w:szCs w:val="32"/>
        </w:rPr>
        <w:t>第二部分　　平顶山市人力资源和社会保障局</w:t>
      </w:r>
      <w:r>
        <w:rPr>
          <w:rFonts w:ascii="黑体" w:hAnsi="黑体" w:eastAsia="黑体" w:cs="黑体"/>
          <w:sz w:val="32"/>
          <w:szCs w:val="32"/>
        </w:rPr>
        <w:t>201</w:t>
      </w:r>
      <w:r>
        <w:rPr>
          <w:rFonts w:hint="eastAsia" w:ascii="黑体" w:hAnsi="黑体" w:eastAsia="黑体" w:cs="黑体"/>
          <w:sz w:val="32"/>
          <w:szCs w:val="32"/>
        </w:rPr>
        <w:t>8年度部门决算表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一、收入支出决算总表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二、收入决算表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三、支出决算表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四、财政拨款收入支出决算总表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五、一般公共预算财政拨款支出决算表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六、一般公共预算财政拨款基本支出决算表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七、一般公共预算财政拨款“三公”经费支出决算表</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八、政府性基金预算财政拨款收入支出决算表</w:t>
      </w:r>
    </w:p>
    <w:p>
      <w:pPr>
        <w:ind w:firstLine="640" w:firstLineChars="200"/>
        <w:jc w:val="left"/>
        <w:rPr>
          <w:rFonts w:ascii="仿宋_GB2312" w:hAnsi="仿宋" w:eastAsia="仿宋_GB2312" w:cs="宋体"/>
          <w:sz w:val="32"/>
          <w:szCs w:val="32"/>
        </w:rPr>
      </w:pPr>
      <w:r>
        <w:rPr>
          <w:rFonts w:hint="eastAsia" w:ascii="黑体" w:hAnsi="黑体" w:eastAsia="黑体" w:cs="黑体"/>
          <w:sz w:val="32"/>
          <w:szCs w:val="32"/>
        </w:rPr>
        <w:t>第三部分　　平顶山市人力资源和社会保障局</w:t>
      </w:r>
      <w:r>
        <w:rPr>
          <w:rFonts w:ascii="黑体" w:hAnsi="黑体" w:eastAsia="黑体" w:cs="黑体"/>
          <w:sz w:val="32"/>
          <w:szCs w:val="32"/>
        </w:rPr>
        <w:t>201</w:t>
      </w:r>
      <w:r>
        <w:rPr>
          <w:rFonts w:hint="eastAsia" w:ascii="黑体" w:hAnsi="黑体" w:eastAsia="黑体" w:cs="黑体"/>
          <w:sz w:val="32"/>
          <w:szCs w:val="32"/>
        </w:rPr>
        <w:t>8年度部门决算情况说明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一、收入支出决算总体情况说明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二、收入决算情况说明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三、支出决算情况说明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四、财政拨款收入支出决算总体情况说明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五、一般公共预算财政拨款支出决算情况说明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六、一般公共预算财政拨款基本支出决算情况说明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七、一般公共预算财政拨款“三公”经费支出决算情况说明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八、预算绩效情况说明</w:t>
      </w:r>
    </w:p>
    <w:p>
      <w:pPr>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九、政府性基金预算财政拨款支出决算情况说明</w:t>
      </w:r>
    </w:p>
    <w:p>
      <w:pPr>
        <w:pStyle w:val="7"/>
        <w:widowControl/>
        <w:spacing w:beforeAutospacing="0" w:afterAutospacing="0" w:line="600" w:lineRule="exact"/>
        <w:ind w:firstLine="640" w:firstLineChars="200"/>
        <w:jc w:val="both"/>
        <w:rPr>
          <w:rFonts w:ascii="仿宋_GB2312" w:hAnsi="仿宋" w:eastAsia="仿宋_GB2312"/>
          <w:kern w:val="2"/>
          <w:sz w:val="32"/>
          <w:szCs w:val="32"/>
        </w:rPr>
      </w:pPr>
      <w:r>
        <w:rPr>
          <w:rFonts w:hint="eastAsia" w:ascii="仿宋_GB2312" w:hAnsi="仿宋" w:eastAsia="仿宋_GB2312" w:cs="仿宋_GB2312"/>
          <w:kern w:val="2"/>
          <w:sz w:val="32"/>
          <w:szCs w:val="32"/>
        </w:rPr>
        <w:t>十、机关运行经费支出情况说明</w:t>
      </w:r>
    </w:p>
    <w:p>
      <w:pPr>
        <w:pStyle w:val="7"/>
        <w:widowControl/>
        <w:spacing w:beforeAutospacing="0" w:afterAutospacing="0" w:line="600" w:lineRule="exact"/>
        <w:ind w:firstLine="640" w:firstLineChars="200"/>
        <w:jc w:val="both"/>
        <w:rPr>
          <w:rFonts w:ascii="仿宋_GB2312" w:hAnsi="仿宋" w:eastAsia="仿宋_GB2312"/>
          <w:kern w:val="2"/>
          <w:sz w:val="32"/>
          <w:szCs w:val="32"/>
        </w:rPr>
      </w:pPr>
      <w:r>
        <w:rPr>
          <w:rFonts w:hint="eastAsia" w:ascii="仿宋_GB2312" w:hAnsi="仿宋" w:eastAsia="仿宋_GB2312" w:cs="仿宋_GB2312"/>
          <w:kern w:val="2"/>
          <w:sz w:val="32"/>
          <w:szCs w:val="32"/>
        </w:rPr>
        <w:t>十一、政府采购支出情况说明</w:t>
      </w:r>
    </w:p>
    <w:p>
      <w:pPr>
        <w:pStyle w:val="7"/>
        <w:widowControl/>
        <w:spacing w:beforeAutospacing="0" w:afterAutospacing="0" w:line="600" w:lineRule="exact"/>
        <w:ind w:firstLine="640" w:firstLineChars="200"/>
        <w:jc w:val="both"/>
        <w:rPr>
          <w:rFonts w:ascii="仿宋_GB2312" w:hAnsi="仿宋" w:eastAsia="仿宋_GB2312"/>
          <w:kern w:val="2"/>
          <w:sz w:val="32"/>
          <w:szCs w:val="32"/>
        </w:rPr>
      </w:pPr>
      <w:r>
        <w:rPr>
          <w:rFonts w:hint="eastAsia" w:ascii="仿宋_GB2312" w:hAnsi="仿宋" w:eastAsia="仿宋_GB2312" w:cs="仿宋_GB2312"/>
          <w:kern w:val="2"/>
          <w:sz w:val="32"/>
          <w:szCs w:val="32"/>
        </w:rPr>
        <w:t>十二、国有资产占用情况说明</w:t>
      </w:r>
    </w:p>
    <w:p>
      <w:pPr>
        <w:ind w:firstLine="640" w:firstLineChars="200"/>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7"/>
        <w:widowControl/>
        <w:spacing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shd w:val="clear" w:color="auto" w:fill="FFFFFF"/>
        </w:rPr>
      </w:pPr>
    </w:p>
    <w:p>
      <w:pPr>
        <w:pStyle w:val="7"/>
        <w:widowControl/>
        <w:spacing w:beforeLines="100" w:beforeAutospacing="0" w:afterAutospacing="0" w:line="375" w:lineRule="atLeast"/>
        <w:jc w:val="center"/>
        <w:rPr>
          <w:rFonts w:ascii="黑体" w:hAnsi="黑体" w:eastAsia="黑体" w:cs="黑体"/>
          <w:color w:val="000000" w:themeColor="text1"/>
          <w:sz w:val="48"/>
          <w:szCs w:val="48"/>
        </w:rPr>
      </w:pPr>
      <w:r>
        <w:rPr>
          <w:rFonts w:hint="eastAsia" w:ascii="黑体" w:hAnsi="黑体" w:eastAsia="黑体" w:cs="黑体"/>
          <w:color w:val="000000" w:themeColor="text1"/>
          <w:sz w:val="48"/>
          <w:szCs w:val="48"/>
          <w:shd w:val="clear" w:color="auto" w:fill="FFFFFF"/>
        </w:rPr>
        <w:t>第一部分　　</w:t>
      </w:r>
    </w:p>
    <w:p>
      <w:pPr>
        <w:spacing w:beforeLines="100"/>
        <w:jc w:val="center"/>
        <w:rPr>
          <w:rFonts w:ascii="黑体" w:hAnsi="黑体" w:eastAsia="黑体" w:cs="黑体"/>
          <w:color w:val="000000" w:themeColor="text1"/>
          <w:sz w:val="48"/>
          <w:szCs w:val="48"/>
          <w:shd w:val="clear" w:color="auto" w:fill="FFFFFF"/>
        </w:rPr>
      </w:pPr>
      <w:r>
        <w:rPr>
          <w:rFonts w:hint="eastAsia" w:ascii="黑体" w:hAnsi="黑体" w:eastAsia="黑体" w:cs="黑体"/>
          <w:color w:val="000000" w:themeColor="text1"/>
          <w:sz w:val="48"/>
          <w:szCs w:val="48"/>
          <w:shd w:val="clear" w:color="auto" w:fill="FFFFFF"/>
        </w:rPr>
        <w:t>平顶山市人力资源和社会保障局概况</w:t>
      </w: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spacing w:beforeLines="100"/>
        <w:jc w:val="center"/>
        <w:rPr>
          <w:rFonts w:ascii="黑体" w:hAnsi="黑体" w:eastAsia="黑体" w:cs="黑体"/>
          <w:color w:val="000000" w:themeColor="text1"/>
          <w:sz w:val="48"/>
          <w:szCs w:val="48"/>
          <w:shd w:val="clear" w:color="auto" w:fill="FFFFFF"/>
        </w:rPr>
      </w:pPr>
    </w:p>
    <w:p>
      <w:pPr>
        <w:pStyle w:val="7"/>
        <w:widowControl/>
        <w:spacing w:beforeAutospacing="0" w:afterAutospacing="0" w:line="360" w:lineRule="auto"/>
        <w:ind w:firstLine="645"/>
        <w:rPr>
          <w:rFonts w:ascii="黑体" w:hAnsi="黑体" w:eastAsia="黑体" w:cs="黑体"/>
          <w:color w:val="000000" w:themeColor="text1"/>
          <w:kern w:val="2"/>
          <w:sz w:val="48"/>
          <w:szCs w:val="48"/>
          <w:shd w:val="clear" w:color="auto" w:fill="FFFFFF"/>
        </w:rPr>
      </w:pPr>
    </w:p>
    <w:p>
      <w:pPr>
        <w:pStyle w:val="7"/>
        <w:widowControl/>
        <w:spacing w:beforeAutospacing="0" w:afterAutospacing="0" w:line="360" w:lineRule="auto"/>
        <w:ind w:firstLine="645"/>
        <w:rPr>
          <w:rFonts w:ascii="黑体" w:hAnsi="宋体" w:eastAsia="黑体" w:cs="黑体"/>
          <w:color w:val="000000" w:themeColor="text1"/>
          <w:sz w:val="32"/>
          <w:szCs w:val="32"/>
          <w:shd w:val="clear" w:color="auto" w:fill="FFFFFF"/>
        </w:rPr>
      </w:pPr>
    </w:p>
    <w:p>
      <w:pPr>
        <w:pStyle w:val="7"/>
        <w:widowControl/>
        <w:spacing w:beforeAutospacing="0" w:afterAutospacing="0" w:line="360" w:lineRule="auto"/>
        <w:ind w:firstLine="645"/>
        <w:rPr>
          <w:color w:val="000000" w:themeColor="text1"/>
          <w:sz w:val="32"/>
          <w:szCs w:val="32"/>
        </w:rPr>
      </w:pPr>
      <w:r>
        <w:rPr>
          <w:rFonts w:hint="eastAsia" w:ascii="黑体" w:hAnsi="宋体" w:eastAsia="黑体" w:cs="黑体"/>
          <w:color w:val="000000" w:themeColor="text1"/>
          <w:sz w:val="32"/>
          <w:szCs w:val="32"/>
          <w:shd w:val="clear" w:color="auto" w:fill="FFFFFF"/>
        </w:rPr>
        <w:t>一、主要职责</w:t>
      </w:r>
    </w:p>
    <w:p>
      <w:pPr>
        <w:pStyle w:val="7"/>
        <w:widowControl/>
        <w:spacing w:beforeAutospacing="0" w:afterAutospacing="0" w:line="375" w:lineRule="atLeast"/>
        <w:ind w:firstLine="640" w:firstLineChars="200"/>
        <w:rPr>
          <w:color w:val="000000" w:themeColor="text1"/>
          <w:sz w:val="32"/>
          <w:szCs w:val="32"/>
        </w:rPr>
      </w:pPr>
      <w:r>
        <w:rPr>
          <w:rFonts w:ascii="仿宋_GB2312" w:hAnsi="仿宋_GB2312" w:eastAsia="仿宋_GB2312" w:cs="仿宋_GB2312"/>
          <w:color w:val="000000" w:themeColor="text1"/>
          <w:sz w:val="32"/>
          <w:szCs w:val="32"/>
          <w:shd w:val="clear" w:color="auto" w:fill="FFFFFF"/>
        </w:rPr>
        <w:t>（一）</w:t>
      </w:r>
      <w:r>
        <w:rPr>
          <w:rStyle w:val="10"/>
          <w:rFonts w:ascii="仿宋_GB2312" w:hAnsi="仿宋_GB2312" w:eastAsia="仿宋_GB2312" w:cs="仿宋_GB2312"/>
          <w:color w:val="000000" w:themeColor="text1"/>
          <w:sz w:val="32"/>
          <w:szCs w:val="32"/>
          <w:shd w:val="clear" w:color="auto" w:fill="FFFFFF"/>
        </w:rPr>
        <w:t>就业</w:t>
      </w:r>
      <w:r>
        <w:rPr>
          <w:rFonts w:ascii="仿宋_GB2312" w:hAnsi="仿宋_GB2312" w:eastAsia="仿宋_GB2312" w:cs="仿宋_GB2312"/>
          <w:color w:val="000000" w:themeColor="text1"/>
          <w:sz w:val="32"/>
          <w:szCs w:val="32"/>
          <w:shd w:val="clear" w:color="auto" w:fill="FFFFFF"/>
        </w:rPr>
        <w:t>。负责全市促进就业工作，拟定实施统筹城乡就业的发展规划和政策，完善公共就业服务体系和公共创业服务体系，建立健全就业援助制度，建立和实施面向城乡劳动者的职业培训制度等。</w:t>
      </w:r>
    </w:p>
    <w:p>
      <w:pPr>
        <w:pStyle w:val="7"/>
        <w:widowControl/>
        <w:spacing w:beforeAutospacing="0" w:afterAutospacing="0" w:line="375" w:lineRule="atLeast"/>
        <w:ind w:firstLine="645"/>
        <w:rPr>
          <w:color w:val="000000" w:themeColor="text1"/>
          <w:sz w:val="32"/>
          <w:szCs w:val="32"/>
        </w:rPr>
      </w:pPr>
      <w:r>
        <w:rPr>
          <w:rFonts w:ascii="仿宋_GB2312" w:hAnsi="仿宋_GB2312" w:eastAsia="仿宋_GB2312" w:cs="仿宋_GB2312"/>
          <w:color w:val="000000" w:themeColor="text1"/>
          <w:sz w:val="32"/>
          <w:szCs w:val="32"/>
          <w:shd w:val="clear" w:color="auto" w:fill="FFFFFF"/>
        </w:rPr>
        <w:t>（二）</w:t>
      </w:r>
      <w:r>
        <w:rPr>
          <w:rStyle w:val="10"/>
          <w:rFonts w:ascii="仿宋_GB2312" w:hAnsi="仿宋_GB2312" w:eastAsia="仿宋_GB2312" w:cs="仿宋_GB2312"/>
          <w:color w:val="000000" w:themeColor="text1"/>
          <w:sz w:val="32"/>
          <w:szCs w:val="32"/>
          <w:shd w:val="clear" w:color="auto" w:fill="FFFFFF"/>
        </w:rPr>
        <w:t>社会保险</w:t>
      </w:r>
      <w:r>
        <w:rPr>
          <w:rFonts w:ascii="仿宋_GB2312" w:hAnsi="仿宋_GB2312" w:eastAsia="仿宋_GB2312" w:cs="仿宋_GB2312"/>
          <w:color w:val="000000" w:themeColor="text1"/>
          <w:sz w:val="32"/>
          <w:szCs w:val="32"/>
          <w:shd w:val="clear" w:color="auto" w:fill="FFFFFF"/>
        </w:rPr>
        <w:t>。统筹建立覆盖全市城乡的社会保险体系，负责养老、医疗、失业、工伤、生育五项社会保险的基金征缴、监管及待遇支付。</w:t>
      </w:r>
    </w:p>
    <w:p>
      <w:pPr>
        <w:pStyle w:val="7"/>
        <w:widowControl/>
        <w:spacing w:beforeAutospacing="0" w:afterAutospacing="0" w:line="375" w:lineRule="atLeast"/>
        <w:ind w:firstLine="645"/>
        <w:rPr>
          <w:color w:val="000000" w:themeColor="text1"/>
          <w:sz w:val="32"/>
          <w:szCs w:val="32"/>
        </w:rPr>
      </w:pPr>
      <w:r>
        <w:rPr>
          <w:rFonts w:ascii="仿宋_GB2312" w:hAnsi="仿宋_GB2312" w:eastAsia="仿宋_GB2312" w:cs="仿宋_GB2312"/>
          <w:color w:val="000000" w:themeColor="text1"/>
          <w:sz w:val="32"/>
          <w:szCs w:val="32"/>
          <w:shd w:val="clear" w:color="auto" w:fill="FFFFFF"/>
        </w:rPr>
        <w:t>（三）</w:t>
      </w:r>
      <w:r>
        <w:rPr>
          <w:rStyle w:val="10"/>
          <w:rFonts w:ascii="仿宋_GB2312" w:hAnsi="仿宋_GB2312" w:eastAsia="仿宋_GB2312" w:cs="仿宋_GB2312"/>
          <w:color w:val="000000" w:themeColor="text1"/>
          <w:sz w:val="32"/>
          <w:szCs w:val="32"/>
          <w:shd w:val="clear" w:color="auto" w:fill="FFFFFF"/>
        </w:rPr>
        <w:t>人才</w:t>
      </w:r>
      <w:r>
        <w:rPr>
          <w:rFonts w:ascii="仿宋_GB2312" w:hAnsi="仿宋_GB2312" w:eastAsia="仿宋_GB2312" w:cs="仿宋_GB2312"/>
          <w:color w:val="000000" w:themeColor="text1"/>
          <w:sz w:val="32"/>
          <w:szCs w:val="32"/>
          <w:shd w:val="clear" w:color="auto" w:fill="FFFFFF"/>
        </w:rPr>
        <w:t>。会同有关部门拟定技能人才队伍的培养、评价、使用和激励的相关政策，参与专业技术人才队伍的管理，参与人才引进工作，负责全市引进国外智力工作。</w:t>
      </w:r>
    </w:p>
    <w:p>
      <w:pPr>
        <w:pStyle w:val="7"/>
        <w:widowControl/>
        <w:spacing w:beforeAutospacing="0" w:afterAutospacing="0" w:line="375" w:lineRule="atLeast"/>
        <w:ind w:firstLine="645"/>
        <w:rPr>
          <w:color w:val="000000" w:themeColor="text1"/>
          <w:sz w:val="32"/>
          <w:szCs w:val="32"/>
        </w:rPr>
      </w:pPr>
      <w:r>
        <w:rPr>
          <w:rFonts w:ascii="仿宋_GB2312" w:hAnsi="仿宋_GB2312" w:eastAsia="仿宋_GB2312" w:cs="仿宋_GB2312"/>
          <w:color w:val="000000" w:themeColor="text1"/>
          <w:sz w:val="32"/>
          <w:szCs w:val="32"/>
          <w:shd w:val="clear" w:color="auto" w:fill="FFFFFF"/>
        </w:rPr>
        <w:t>（四）</w:t>
      </w:r>
      <w:r>
        <w:rPr>
          <w:rStyle w:val="10"/>
          <w:rFonts w:ascii="仿宋_GB2312" w:hAnsi="仿宋_GB2312" w:eastAsia="仿宋_GB2312" w:cs="仿宋_GB2312"/>
          <w:color w:val="000000" w:themeColor="text1"/>
          <w:sz w:val="32"/>
          <w:szCs w:val="32"/>
          <w:shd w:val="clear" w:color="auto" w:fill="FFFFFF"/>
        </w:rPr>
        <w:t>人事</w:t>
      </w:r>
      <w:r>
        <w:rPr>
          <w:rFonts w:ascii="仿宋_GB2312" w:hAnsi="仿宋_GB2312" w:eastAsia="仿宋_GB2312" w:cs="仿宋_GB2312"/>
          <w:color w:val="000000" w:themeColor="text1"/>
          <w:sz w:val="32"/>
          <w:szCs w:val="32"/>
          <w:shd w:val="clear" w:color="auto" w:fill="FFFFFF"/>
        </w:rPr>
        <w:t>。贯彻执行公务员管理的法律、法规和政策，会同有关部门指导事业单位人事管理及人事制度改革，贯彻落实军队转业干部安置、自主择业以及企业军转干部解困维稳政策。</w:t>
      </w:r>
    </w:p>
    <w:p>
      <w:pPr>
        <w:pStyle w:val="7"/>
        <w:widowControl/>
        <w:spacing w:beforeAutospacing="0" w:afterAutospacing="0" w:line="375" w:lineRule="atLeast"/>
        <w:ind w:firstLine="645"/>
        <w:rPr>
          <w:color w:val="000000" w:themeColor="text1"/>
          <w:sz w:val="32"/>
          <w:szCs w:val="32"/>
        </w:rPr>
      </w:pPr>
      <w:r>
        <w:rPr>
          <w:rFonts w:ascii="仿宋_GB2312" w:hAnsi="仿宋_GB2312" w:eastAsia="仿宋_GB2312" w:cs="仿宋_GB2312"/>
          <w:color w:val="000000" w:themeColor="text1"/>
          <w:sz w:val="32"/>
          <w:szCs w:val="32"/>
          <w:shd w:val="clear" w:color="auto" w:fill="FFFFFF"/>
        </w:rPr>
        <w:t>（五）</w:t>
      </w:r>
      <w:r>
        <w:rPr>
          <w:rStyle w:val="10"/>
          <w:rFonts w:ascii="仿宋_GB2312" w:hAnsi="仿宋_GB2312" w:eastAsia="仿宋_GB2312" w:cs="仿宋_GB2312"/>
          <w:color w:val="000000" w:themeColor="text1"/>
          <w:sz w:val="32"/>
          <w:szCs w:val="32"/>
          <w:shd w:val="clear" w:color="auto" w:fill="FFFFFF"/>
        </w:rPr>
        <w:t>收入分配</w:t>
      </w:r>
      <w:r>
        <w:rPr>
          <w:rFonts w:ascii="仿宋_GB2312" w:hAnsi="仿宋_GB2312" w:eastAsia="仿宋_GB2312" w:cs="仿宋_GB2312"/>
          <w:color w:val="000000" w:themeColor="text1"/>
          <w:sz w:val="32"/>
          <w:szCs w:val="32"/>
          <w:shd w:val="clear" w:color="auto" w:fill="FFFFFF"/>
        </w:rPr>
        <w:t>。会同有关部门拟订落实全市机关事业单位人员工资收入分配、福利和离退休政策，会同有关部门拟订国有企业薪酬制度改革，贯彻落实企业职工工资宏观调控政策和最低工资政策。</w:t>
      </w:r>
    </w:p>
    <w:p>
      <w:pPr>
        <w:pStyle w:val="7"/>
        <w:widowControl/>
        <w:spacing w:beforeAutospacing="0" w:afterAutospacing="0" w:line="360" w:lineRule="auto"/>
        <w:ind w:firstLine="640" w:firstLineChars="200"/>
        <w:rPr>
          <w:color w:val="000000" w:themeColor="text1"/>
          <w:sz w:val="32"/>
          <w:szCs w:val="32"/>
        </w:rPr>
      </w:pPr>
      <w:r>
        <w:rPr>
          <w:rFonts w:ascii="仿宋_GB2312" w:hAnsi="仿宋_GB2312" w:eastAsia="仿宋_GB2312" w:cs="仿宋_GB2312"/>
          <w:color w:val="000000" w:themeColor="text1"/>
          <w:sz w:val="32"/>
          <w:szCs w:val="32"/>
          <w:shd w:val="clear" w:color="auto" w:fill="FFFFFF"/>
        </w:rPr>
        <w:t>（六）</w:t>
      </w:r>
      <w:r>
        <w:rPr>
          <w:rStyle w:val="10"/>
          <w:rFonts w:ascii="仿宋_GB2312" w:hAnsi="仿宋_GB2312" w:eastAsia="仿宋_GB2312" w:cs="仿宋_GB2312"/>
          <w:color w:val="000000" w:themeColor="text1"/>
          <w:sz w:val="32"/>
          <w:szCs w:val="32"/>
          <w:shd w:val="clear" w:color="auto" w:fill="FFFFFF"/>
        </w:rPr>
        <w:t>劳动关系</w:t>
      </w:r>
      <w:r>
        <w:rPr>
          <w:rFonts w:ascii="仿宋_GB2312" w:hAnsi="仿宋_GB2312" w:eastAsia="仿宋_GB2312" w:cs="仿宋_GB2312"/>
          <w:color w:val="000000" w:themeColor="text1"/>
          <w:sz w:val="32"/>
          <w:szCs w:val="32"/>
          <w:shd w:val="clear" w:color="auto" w:fill="FFFFFF"/>
        </w:rPr>
        <w:t>。贯彻落实全市劳动人事争议调解仲裁制度和劳动关系政策，完善劳动关系协调机制，依据国家特殊劳动保护政策制定实施细则并监督实施，组织实施劳动保障监察、协调劳动维权工作，依法查处重大案件。</w:t>
      </w:r>
    </w:p>
    <w:p>
      <w:pPr>
        <w:pStyle w:val="7"/>
        <w:widowControl/>
        <w:spacing w:beforeAutospacing="0" w:afterAutospacing="0" w:line="360" w:lineRule="auto"/>
        <w:ind w:firstLine="645"/>
        <w:rPr>
          <w:rFonts w:eastAsia="黑体"/>
          <w:color w:val="000000" w:themeColor="text1"/>
          <w:sz w:val="32"/>
          <w:szCs w:val="32"/>
        </w:rPr>
      </w:pPr>
      <w:r>
        <w:rPr>
          <w:rFonts w:hint="eastAsia" w:ascii="黑体" w:hAnsi="宋体" w:eastAsia="黑体" w:cs="黑体"/>
          <w:color w:val="000000" w:themeColor="text1"/>
          <w:sz w:val="32"/>
          <w:szCs w:val="32"/>
          <w:shd w:val="clear" w:color="auto" w:fill="FFFFFF"/>
        </w:rPr>
        <w:t>二、机构设置</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rPr>
        <w:t>平顶山市</w:t>
      </w:r>
      <w:r>
        <w:rPr>
          <w:rFonts w:ascii="仿宋_GB2312" w:hAnsi="仿宋_GB2312" w:eastAsia="仿宋_GB2312" w:cs="仿宋_GB2312"/>
          <w:color w:val="000000" w:themeColor="text1"/>
          <w:sz w:val="32"/>
          <w:szCs w:val="32"/>
          <w:shd w:val="clear" w:color="auto" w:fill="FFFFFF"/>
        </w:rPr>
        <w:t>人力资源和社会保障</w:t>
      </w:r>
      <w:r>
        <w:rPr>
          <w:rFonts w:hint="eastAsia" w:ascii="仿宋_GB2312" w:hAnsi="仿宋_GB2312" w:eastAsia="仿宋_GB2312" w:cs="仿宋_GB2312"/>
          <w:color w:val="000000" w:themeColor="text1"/>
          <w:sz w:val="32"/>
          <w:szCs w:val="32"/>
          <w:shd w:val="clear" w:color="auto" w:fill="FFFFFF"/>
        </w:rPr>
        <w:t>局</w:t>
      </w:r>
      <w:r>
        <w:rPr>
          <w:rFonts w:ascii="仿宋_GB2312" w:hAnsi="仿宋_GB2312" w:eastAsia="仿宋_GB2312" w:cs="仿宋_GB2312"/>
          <w:color w:val="000000" w:themeColor="text1"/>
          <w:sz w:val="32"/>
          <w:szCs w:val="32"/>
          <w:shd w:val="clear" w:color="auto" w:fill="FFFFFF"/>
        </w:rPr>
        <w:t>纳入本部门 201</w:t>
      </w:r>
      <w:r>
        <w:rPr>
          <w:rFonts w:hint="eastAsia" w:ascii="仿宋_GB2312" w:hAnsi="仿宋_GB2312" w:eastAsia="仿宋_GB2312" w:cs="仿宋_GB2312"/>
          <w:color w:val="000000" w:themeColor="text1"/>
          <w:sz w:val="32"/>
          <w:szCs w:val="32"/>
          <w:shd w:val="clear" w:color="auto" w:fill="FFFFFF"/>
        </w:rPr>
        <w:t>8</w:t>
      </w:r>
      <w:r>
        <w:rPr>
          <w:rFonts w:ascii="仿宋_GB2312" w:hAnsi="仿宋_GB2312" w:eastAsia="仿宋_GB2312" w:cs="仿宋_GB2312"/>
          <w:color w:val="000000" w:themeColor="text1"/>
          <w:sz w:val="32"/>
          <w:szCs w:val="32"/>
          <w:shd w:val="clear" w:color="auto" w:fill="FFFFFF"/>
        </w:rPr>
        <w:t>年度部门决算编报范围</w:t>
      </w:r>
      <w:r>
        <w:rPr>
          <w:rFonts w:hint="eastAsia" w:ascii="仿宋_GB2312" w:hAnsi="仿宋_GB2312" w:eastAsia="仿宋_GB2312" w:cs="仿宋_GB2312"/>
          <w:color w:val="000000" w:themeColor="text1"/>
          <w:sz w:val="32"/>
          <w:szCs w:val="32"/>
          <w:shd w:val="clear" w:color="auto" w:fill="FFFFFF"/>
        </w:rPr>
        <w:t>的</w:t>
      </w:r>
      <w:r>
        <w:rPr>
          <w:rFonts w:ascii="仿宋_GB2312" w:hAnsi="仿宋_GB2312" w:eastAsia="仿宋_GB2312" w:cs="仿宋_GB2312"/>
          <w:color w:val="000000" w:themeColor="text1"/>
          <w:sz w:val="32"/>
          <w:szCs w:val="32"/>
          <w:shd w:val="clear" w:color="auto" w:fill="FFFFFF"/>
        </w:rPr>
        <w:t>预算单位</w:t>
      </w:r>
      <w:r>
        <w:rPr>
          <w:rFonts w:hint="eastAsia" w:ascii="仿宋_GB2312" w:hAnsi="仿宋_GB2312" w:eastAsia="仿宋_GB2312" w:cs="仿宋_GB2312"/>
          <w:color w:val="000000" w:themeColor="text1"/>
          <w:sz w:val="32"/>
          <w:szCs w:val="32"/>
          <w:shd w:val="clear" w:color="auto" w:fill="FFFFFF"/>
        </w:rPr>
        <w:t>包括平顶山市</w:t>
      </w:r>
      <w:r>
        <w:rPr>
          <w:rFonts w:ascii="仿宋_GB2312" w:hAnsi="仿宋_GB2312" w:eastAsia="仿宋_GB2312" w:cs="仿宋_GB2312"/>
          <w:color w:val="000000" w:themeColor="text1"/>
          <w:sz w:val="32"/>
          <w:szCs w:val="32"/>
          <w:shd w:val="clear" w:color="auto" w:fill="FFFFFF"/>
        </w:rPr>
        <w:t>人力资源和社会保障</w:t>
      </w:r>
      <w:r>
        <w:rPr>
          <w:rFonts w:hint="eastAsia" w:ascii="仿宋_GB2312" w:hAnsi="仿宋_GB2312" w:eastAsia="仿宋_GB2312" w:cs="仿宋_GB2312"/>
          <w:color w:val="000000" w:themeColor="text1"/>
          <w:sz w:val="32"/>
          <w:szCs w:val="32"/>
          <w:shd w:val="clear" w:color="auto" w:fill="FFFFFF"/>
        </w:rPr>
        <w:t>局本级、所属5</w:t>
      </w:r>
      <w:r>
        <w:rPr>
          <w:rFonts w:ascii="仿宋_GB2312" w:hAnsi="仿宋_GB2312" w:eastAsia="仿宋_GB2312" w:cs="仿宋_GB2312"/>
          <w:color w:val="000000" w:themeColor="text1"/>
          <w:sz w:val="32"/>
          <w:szCs w:val="32"/>
          <w:shd w:val="clear" w:color="auto" w:fill="FFFFFF"/>
        </w:rPr>
        <w:t>个</w:t>
      </w:r>
      <w:r>
        <w:rPr>
          <w:rFonts w:hint="eastAsia" w:ascii="仿宋_GB2312" w:hAnsi="仿宋_GB2312" w:eastAsia="仿宋_GB2312" w:cs="仿宋_GB2312"/>
          <w:color w:val="000000" w:themeColor="text1"/>
          <w:sz w:val="32"/>
          <w:szCs w:val="32"/>
          <w:shd w:val="clear" w:color="auto" w:fill="FFFFFF"/>
        </w:rPr>
        <w:t>二级单位、3个</w:t>
      </w:r>
      <w:r>
        <w:rPr>
          <w:rFonts w:ascii="仿宋_GB2312" w:hAnsi="仿宋_GB2312" w:eastAsia="仿宋_GB2312" w:cs="仿宋_GB2312"/>
          <w:color w:val="000000" w:themeColor="text1"/>
          <w:sz w:val="32"/>
          <w:szCs w:val="32"/>
          <w:shd w:val="clear" w:color="auto" w:fill="FFFFFF"/>
        </w:rPr>
        <w:t>三级单位 。</w:t>
      </w:r>
      <w:r>
        <w:rPr>
          <w:rFonts w:hint="eastAsia" w:ascii="仿宋_GB2312" w:hAnsi="仿宋_GB2312" w:eastAsia="仿宋_GB2312" w:cs="仿宋_GB2312"/>
          <w:sz w:val="32"/>
          <w:szCs w:val="32"/>
        </w:rPr>
        <w:t>纳入平顶山市人力资源和社会障局（本级）2018年度部门决算编制范围的单位科室包括：办公室、人事科、政策法规科、机关党委、规划财务科、就业促进工作办公室、人力资源市场科、综合职位科、录用交流科、考核奖励科、培训监督科、安置科、自主择业科、解困维稳科、职业能力建设科、劳动技能鉴定中心、专技科、事业单位管理科、农民工工作科、劳动关系科、工资福利科、养老保险科（农保科）、失业保险科、医疗保险科、工伤保险科、鉴定检查中心、社保基金监督科、调解仲裁管理科、劳动监察局、监察支队、职称科、外国专家局、离退休干部科、纪检监察室、信访科、工考办（工考中心）、小额贷款担保中心、信息中心。</w:t>
      </w:r>
    </w:p>
    <w:p>
      <w:pPr>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行政编制86人，年末在职人数69人，其中机关人员67人，工勤人员2人；事业编制281人，年末在职人数247人，其中参照公务员法管理人员176人，财政补助人员34人，经费自理人员37人；离退休人员204人，其中离休人员3人，退休人员201人。</w:t>
      </w:r>
    </w:p>
    <w:p>
      <w:pPr>
        <w:pStyle w:val="7"/>
        <w:widowControl/>
        <w:spacing w:beforeAutospacing="0" w:afterAutospacing="0" w:line="360" w:lineRule="auto"/>
        <w:ind w:firstLine="645"/>
        <w:rPr>
          <w:rFonts w:ascii="仿宋_GB2312" w:hAnsi="仿宋_GB2312" w:eastAsia="仿宋_GB2312" w:cs="仿宋_GB2312"/>
          <w:color w:val="000000" w:themeColor="text1"/>
          <w:sz w:val="32"/>
          <w:szCs w:val="32"/>
          <w:shd w:val="clear" w:color="auto" w:fill="FFFFFF"/>
        </w:rPr>
      </w:pPr>
      <w:r>
        <w:rPr>
          <w:rFonts w:ascii="仿宋_GB2312" w:hAnsi="仿宋_GB2312" w:eastAsia="仿宋_GB2312" w:cs="仿宋_GB2312"/>
          <w:color w:val="000000" w:themeColor="text1"/>
          <w:sz w:val="32"/>
          <w:szCs w:val="32"/>
          <w:shd w:val="clear" w:color="auto" w:fill="FFFFFF"/>
        </w:rPr>
        <w:t>本决算为汇总决算，</w:t>
      </w:r>
      <w:r>
        <w:rPr>
          <w:rFonts w:hint="eastAsia" w:ascii="仿宋_GB2312" w:hAnsi="仿宋_GB2312" w:eastAsia="仿宋_GB2312" w:cs="仿宋_GB2312"/>
          <w:color w:val="000000" w:themeColor="text1"/>
          <w:sz w:val="32"/>
          <w:szCs w:val="32"/>
          <w:shd w:val="clear" w:color="auto" w:fill="FFFFFF"/>
        </w:rPr>
        <w:t>具体</w:t>
      </w:r>
      <w:r>
        <w:rPr>
          <w:rFonts w:ascii="仿宋_GB2312" w:hAnsi="仿宋_GB2312" w:eastAsia="仿宋_GB2312" w:cs="仿宋_GB2312"/>
          <w:color w:val="000000" w:themeColor="text1"/>
          <w:sz w:val="32"/>
          <w:szCs w:val="32"/>
          <w:shd w:val="clear" w:color="auto" w:fill="FFFFFF"/>
        </w:rPr>
        <w:t>单位</w:t>
      </w:r>
      <w:r>
        <w:rPr>
          <w:rFonts w:hint="eastAsia" w:ascii="仿宋_GB2312" w:hAnsi="仿宋_GB2312" w:eastAsia="仿宋_GB2312" w:cs="仿宋_GB2312"/>
          <w:color w:val="000000" w:themeColor="text1"/>
          <w:sz w:val="32"/>
          <w:szCs w:val="32"/>
          <w:shd w:val="clear" w:color="auto" w:fill="FFFFFF"/>
        </w:rPr>
        <w:t>名单</w:t>
      </w:r>
      <w:r>
        <w:rPr>
          <w:rFonts w:ascii="仿宋_GB2312" w:hAnsi="仿宋_GB2312" w:eastAsia="仿宋_GB2312" w:cs="仿宋_GB2312"/>
          <w:color w:val="000000" w:themeColor="text1"/>
          <w:sz w:val="32"/>
          <w:szCs w:val="32"/>
          <w:shd w:val="clear" w:color="auto" w:fill="FFFFFF"/>
        </w:rPr>
        <w:t>如下：</w:t>
      </w:r>
    </w:p>
    <w:p>
      <w:pPr>
        <w:pStyle w:val="7"/>
        <w:widowControl/>
        <w:spacing w:beforeAutospacing="0" w:afterAutospacing="0" w:line="360" w:lineRule="auto"/>
        <w:ind w:firstLine="645"/>
        <w:rPr>
          <w:color w:val="000000"/>
          <w:sz w:val="32"/>
          <w:szCs w:val="32"/>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平顶山市人力资源和社会障局</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本级</w:t>
      </w:r>
      <w:r>
        <w:rPr>
          <w:rFonts w:ascii="仿宋_GB2312" w:hAnsi="仿宋_GB2312" w:eastAsia="仿宋_GB2312" w:cs="仿宋_GB2312"/>
          <w:color w:val="000000"/>
          <w:sz w:val="32"/>
          <w:szCs w:val="32"/>
          <w:shd w:val="clear" w:color="auto" w:fill="FFFFFF"/>
        </w:rPr>
        <w:t>)</w:t>
      </w:r>
    </w:p>
    <w:p>
      <w:pPr>
        <w:pStyle w:val="7"/>
        <w:widowControl/>
        <w:spacing w:beforeAutospacing="0" w:afterAutospacing="0" w:line="375" w:lineRule="atLeast"/>
        <w:ind w:firstLine="645"/>
        <w:rPr>
          <w:color w:val="000000"/>
          <w:sz w:val="32"/>
          <w:szCs w:val="32"/>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平顶山市失业保险管理中心</w:t>
      </w:r>
    </w:p>
    <w:p>
      <w:pPr>
        <w:pStyle w:val="7"/>
        <w:widowControl/>
        <w:spacing w:beforeAutospacing="0" w:afterAutospacing="0" w:line="375" w:lineRule="atLeast"/>
        <w:ind w:firstLine="645"/>
        <w:rPr>
          <w:color w:val="000000"/>
          <w:sz w:val="32"/>
          <w:szCs w:val="32"/>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平顶山市社会保险事业局</w:t>
      </w:r>
    </w:p>
    <w:p>
      <w:pPr>
        <w:pStyle w:val="7"/>
        <w:widowControl/>
        <w:spacing w:beforeAutospacing="0" w:afterAutospacing="0" w:line="375" w:lineRule="atLeast"/>
        <w:ind w:firstLine="645"/>
        <w:rPr>
          <w:color w:val="000000"/>
          <w:sz w:val="32"/>
          <w:szCs w:val="32"/>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平顶山市社会医疗保险中心</w:t>
      </w:r>
    </w:p>
    <w:p>
      <w:pPr>
        <w:pStyle w:val="7"/>
        <w:widowControl/>
        <w:spacing w:beforeAutospacing="0" w:afterAutospacing="0" w:line="375" w:lineRule="atLeast"/>
        <w:ind w:firstLine="645"/>
        <w:rPr>
          <w:color w:val="000000"/>
          <w:sz w:val="32"/>
          <w:szCs w:val="32"/>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平顶山市人才交流中心</w:t>
      </w:r>
    </w:p>
    <w:p>
      <w:pPr>
        <w:pStyle w:val="7"/>
        <w:widowControl/>
        <w:spacing w:beforeAutospacing="0" w:afterAutospacing="0" w:line="375" w:lineRule="atLeast"/>
        <w:ind w:firstLine="645"/>
        <w:rPr>
          <w:color w:val="000000"/>
          <w:sz w:val="32"/>
          <w:szCs w:val="32"/>
        </w:rPr>
      </w:pP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平顶山市干部考试中心</w:t>
      </w:r>
    </w:p>
    <w:p>
      <w:pPr>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7.平顶山市职业介绍服务中心</w:t>
      </w: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ind w:firstLine="640" w:firstLineChars="200"/>
        <w:jc w:val="left"/>
        <w:rPr>
          <w:rFonts w:ascii="仿宋_GB2312" w:hAnsi="仿宋_GB2312" w:eastAsia="仿宋_GB2312" w:cs="仿宋_GB2312"/>
          <w:color w:val="000000" w:themeColor="text1"/>
          <w:sz w:val="32"/>
          <w:szCs w:val="32"/>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r>
        <w:rPr>
          <w:rFonts w:hint="eastAsia" w:ascii="黑体" w:hAnsi="黑体" w:eastAsia="黑体" w:cs="黑体"/>
          <w:sz w:val="48"/>
          <w:szCs w:val="48"/>
        </w:rPr>
        <w:t>第二部分</w:t>
      </w:r>
    </w:p>
    <w:p>
      <w:pPr>
        <w:spacing w:beforeLines="100"/>
        <w:ind w:firstLine="1920" w:firstLineChars="400"/>
        <w:rPr>
          <w:rFonts w:ascii="仿宋_GB2312" w:hAnsi="仿宋_GB2312" w:eastAsia="仿宋_GB2312" w:cs="仿宋_GB2312"/>
          <w:color w:val="000000" w:themeColor="text1"/>
          <w:sz w:val="32"/>
          <w:szCs w:val="32"/>
        </w:rPr>
      </w:pPr>
      <w:r>
        <w:rPr>
          <w:rFonts w:hint="eastAsia" w:ascii="黑体" w:hAnsi="黑体" w:eastAsia="黑体" w:cs="黑体"/>
          <w:sz w:val="48"/>
          <w:szCs w:val="48"/>
        </w:rPr>
        <w:t>2018年度部门决算表</w:t>
      </w:r>
    </w:p>
    <w:p>
      <w:pPr>
        <w:pStyle w:val="7"/>
        <w:widowControl/>
        <w:spacing w:beforeAutospacing="0" w:afterAutospacing="0" w:line="375" w:lineRule="atLeast"/>
        <w:ind w:firstLine="645"/>
        <w:rPr>
          <w:rFonts w:ascii="仿宋_GB2312" w:hAnsi="仿宋_GB2312" w:eastAsia="仿宋_GB2312" w:cs="仿宋_GB2312"/>
          <w:color w:val="000000" w:themeColor="text1"/>
          <w:sz w:val="32"/>
          <w:szCs w:val="32"/>
          <w:shd w:val="clear" w:color="auto" w:fill="FFFFFF"/>
        </w:rPr>
      </w:pPr>
    </w:p>
    <w:p>
      <w:pPr>
        <w:pStyle w:val="7"/>
        <w:widowControl/>
        <w:spacing w:beforeAutospacing="0" w:afterAutospacing="0" w:line="375" w:lineRule="atLeast"/>
        <w:ind w:firstLine="645"/>
        <w:rPr>
          <w:rFonts w:ascii="仿宋_GB2312" w:hAnsi="仿宋_GB2312" w:eastAsia="仿宋_GB2312" w:cs="仿宋_GB2312"/>
          <w:color w:val="212121"/>
          <w:sz w:val="31"/>
          <w:szCs w:val="31"/>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pPr>
    </w:p>
    <w:p>
      <w:pPr>
        <w:spacing w:beforeLines="100"/>
        <w:rPr>
          <w:rFonts w:ascii="黑体" w:hAnsi="黑体" w:eastAsia="黑体" w:cs="黑体"/>
          <w:color w:val="000000" w:themeColor="text1"/>
          <w:sz w:val="48"/>
          <w:szCs w:val="48"/>
          <w:shd w:val="clear" w:color="auto" w:fill="FFFFFF"/>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3984" w:type="dxa"/>
        <w:tblInd w:w="0" w:type="dxa"/>
        <w:tblLayout w:type="fixed"/>
        <w:tblCellMar>
          <w:top w:w="0" w:type="dxa"/>
          <w:left w:w="0" w:type="dxa"/>
          <w:bottom w:w="0" w:type="dxa"/>
          <w:right w:w="0" w:type="dxa"/>
        </w:tblCellMar>
      </w:tblPr>
      <w:tblGrid>
        <w:gridCol w:w="4207"/>
        <w:gridCol w:w="569"/>
        <w:gridCol w:w="2246"/>
        <w:gridCol w:w="4207"/>
        <w:gridCol w:w="569"/>
        <w:gridCol w:w="2186"/>
      </w:tblGrid>
      <w:tr>
        <w:tblPrEx>
          <w:tblLayout w:type="fixed"/>
          <w:tblCellMar>
            <w:top w:w="0" w:type="dxa"/>
            <w:left w:w="0" w:type="dxa"/>
            <w:bottom w:w="0" w:type="dxa"/>
            <w:right w:w="0" w:type="dxa"/>
          </w:tblCellMar>
        </w:tblPrEx>
        <w:trPr>
          <w:trHeight w:val="375" w:hRule="atLeast"/>
        </w:trPr>
        <w:tc>
          <w:tcPr>
            <w:tcW w:w="13984" w:type="dxa"/>
            <w:gridSpan w:val="6"/>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收入支出决算总表</w:t>
            </w:r>
          </w:p>
        </w:tc>
      </w:tr>
      <w:tr>
        <w:tblPrEx>
          <w:tblLayout w:type="fixed"/>
          <w:tblCellMar>
            <w:top w:w="0" w:type="dxa"/>
            <w:left w:w="0" w:type="dxa"/>
            <w:bottom w:w="0" w:type="dxa"/>
            <w:right w:w="0" w:type="dxa"/>
          </w:tblCellMar>
        </w:tblPrEx>
        <w:trPr>
          <w:trHeight w:val="300" w:hRule="atLeast"/>
        </w:trPr>
        <w:tc>
          <w:tcPr>
            <w:tcW w:w="4207" w:type="dxa"/>
            <w:tcBorders>
              <w:top w:val="nil"/>
              <w:left w:val="nil"/>
              <w:bottom w:val="nil"/>
              <w:right w:val="nil"/>
            </w:tcBorders>
            <w:shd w:val="clear" w:color="auto" w:fill="auto"/>
            <w:noWrap/>
            <w:tcMar>
              <w:top w:w="15" w:type="dxa"/>
              <w:left w:w="15" w:type="dxa"/>
              <w:right w:w="15" w:type="dxa"/>
            </w:tcMar>
            <w:vAlign w:val="center"/>
          </w:tcPr>
          <w:p>
            <w:pPr>
              <w:jc w:val="left"/>
              <w:rPr>
                <w:rFonts w:ascii="Tahoma" w:hAnsi="Tahoma" w:eastAsia="Tahoma" w:cs="Tahoma"/>
                <w:color w:val="000000"/>
                <w:sz w:val="16"/>
                <w:szCs w:val="16"/>
              </w:rPr>
            </w:pPr>
          </w:p>
        </w:tc>
        <w:tc>
          <w:tcPr>
            <w:tcW w:w="569"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246"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4207"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569"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186"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公开01表</w:t>
            </w:r>
          </w:p>
        </w:tc>
      </w:tr>
      <w:tr>
        <w:tblPrEx>
          <w:tblLayout w:type="fixed"/>
          <w:tblCellMar>
            <w:top w:w="0" w:type="dxa"/>
            <w:left w:w="0" w:type="dxa"/>
            <w:bottom w:w="0" w:type="dxa"/>
            <w:right w:w="0" w:type="dxa"/>
          </w:tblCellMar>
        </w:tblPrEx>
        <w:trPr>
          <w:trHeight w:val="300" w:hRule="atLeast"/>
        </w:trPr>
        <w:tc>
          <w:tcPr>
            <w:tcW w:w="4207"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部门：平顶山市人力资源和社会保障局</w:t>
            </w:r>
          </w:p>
        </w:tc>
        <w:tc>
          <w:tcPr>
            <w:tcW w:w="569"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246"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4207"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569"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186"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0" w:type="dxa"/>
            <w:left w:w="0" w:type="dxa"/>
            <w:bottom w:w="0" w:type="dxa"/>
            <w:right w:w="0" w:type="dxa"/>
          </w:tblCellMar>
        </w:tblPrEx>
        <w:trPr>
          <w:trHeight w:val="300" w:hRule="atLeast"/>
        </w:trPr>
        <w:tc>
          <w:tcPr>
            <w:tcW w:w="7022" w:type="dxa"/>
            <w:gridSpan w:val="3"/>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962" w:type="dxa"/>
            <w:gridSpan w:val="3"/>
            <w:tcBorders>
              <w:top w:val="single" w:color="80808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12,854.18</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1,435.19</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439.94</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237.22</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995.59</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9,385.10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437.76</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1,186.02</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14,289.71</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12,984.09</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77.49</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1,914.94</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3,143.07</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16,204.65</w:t>
            </w:r>
          </w:p>
        </w:tc>
        <w:tc>
          <w:tcPr>
            <w:tcW w:w="4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21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16,204.65</w:t>
            </w:r>
          </w:p>
        </w:tc>
      </w:tr>
      <w:tr>
        <w:tblPrEx>
          <w:tblLayout w:type="fixed"/>
          <w:tblCellMar>
            <w:top w:w="0" w:type="dxa"/>
            <w:left w:w="0" w:type="dxa"/>
            <w:bottom w:w="0" w:type="dxa"/>
            <w:right w:w="0" w:type="dxa"/>
          </w:tblCellMar>
        </w:tblPrEx>
        <w:trPr>
          <w:trHeight w:val="300" w:hRule="atLeast"/>
        </w:trPr>
        <w:tc>
          <w:tcPr>
            <w:tcW w:w="1398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27" w:type="dxa"/>
        <w:jc w:val="center"/>
        <w:tblInd w:w="0" w:type="dxa"/>
        <w:tblLayout w:type="fixed"/>
        <w:tblCellMar>
          <w:top w:w="0" w:type="dxa"/>
          <w:left w:w="0" w:type="dxa"/>
          <w:bottom w:w="0" w:type="dxa"/>
          <w:right w:w="0" w:type="dxa"/>
        </w:tblCellMar>
      </w:tblPr>
      <w:tblGrid>
        <w:gridCol w:w="1682"/>
        <w:gridCol w:w="2655"/>
        <w:gridCol w:w="1359"/>
        <w:gridCol w:w="1367"/>
        <w:gridCol w:w="894"/>
        <w:gridCol w:w="1215"/>
        <w:gridCol w:w="1125"/>
        <w:gridCol w:w="1320"/>
        <w:gridCol w:w="2310"/>
      </w:tblGrid>
      <w:tr>
        <w:tblPrEx>
          <w:tblLayout w:type="fixed"/>
          <w:tblCellMar>
            <w:top w:w="0" w:type="dxa"/>
            <w:left w:w="0" w:type="dxa"/>
            <w:bottom w:w="0" w:type="dxa"/>
            <w:right w:w="0" w:type="dxa"/>
          </w:tblCellMar>
        </w:tblPrEx>
        <w:trPr>
          <w:trHeight w:val="375" w:hRule="atLeast"/>
          <w:jc w:val="center"/>
        </w:trPr>
        <w:tc>
          <w:tcPr>
            <w:tcW w:w="13927" w:type="dxa"/>
            <w:gridSpan w:val="9"/>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收入决算表</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65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67"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894"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21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2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1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公开02表</w:t>
            </w:r>
          </w:p>
        </w:tc>
      </w:tr>
      <w:tr>
        <w:tblPrEx>
          <w:tblLayout w:type="fixed"/>
          <w:tblCellMar>
            <w:top w:w="0" w:type="dxa"/>
            <w:left w:w="0" w:type="dxa"/>
            <w:bottom w:w="0" w:type="dxa"/>
            <w:right w:w="0" w:type="dxa"/>
          </w:tblCellMar>
        </w:tblPrEx>
        <w:trPr>
          <w:trHeight w:val="300" w:hRule="atLeast"/>
          <w:jc w:val="center"/>
        </w:trPr>
        <w:tc>
          <w:tcPr>
            <w:tcW w:w="433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22"/>
              </w:rPr>
              <w:t>部门：平顶山市人力资源和社会保障局</w:t>
            </w:r>
          </w:p>
        </w:tc>
        <w:tc>
          <w:tcPr>
            <w:tcW w:w="1359"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67"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894"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21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2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2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10"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0" w:type="dxa"/>
            <w:left w:w="0" w:type="dxa"/>
            <w:bottom w:w="0" w:type="dxa"/>
            <w:right w:w="0" w:type="dxa"/>
          </w:tblCellMar>
        </w:tblPrEx>
        <w:trPr>
          <w:trHeight w:val="300" w:hRule="atLeast"/>
          <w:jc w:val="center"/>
        </w:trPr>
        <w:tc>
          <w:tcPr>
            <w:tcW w:w="4337" w:type="dxa"/>
            <w:gridSpan w:val="2"/>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359"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367"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894"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21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12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320"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2310"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300" w:hRule="atLeast"/>
          <w:jc w:val="center"/>
        </w:trPr>
        <w:tc>
          <w:tcPr>
            <w:tcW w:w="168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6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168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168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6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433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0"/>
                <w:szCs w:val="20"/>
              </w:rPr>
              <w:t>4</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Layout w:type="fixed"/>
          <w:tblCellMar>
            <w:top w:w="0" w:type="dxa"/>
            <w:left w:w="0" w:type="dxa"/>
            <w:bottom w:w="0" w:type="dxa"/>
            <w:right w:w="0" w:type="dxa"/>
          </w:tblCellMar>
        </w:tblPrEx>
        <w:trPr>
          <w:trHeight w:val="300" w:hRule="atLeast"/>
          <w:jc w:val="center"/>
        </w:trPr>
        <w:tc>
          <w:tcPr>
            <w:tcW w:w="433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14,289.71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FF0000"/>
                <w:sz w:val="20"/>
                <w:szCs w:val="20"/>
              </w:rPr>
            </w:pPr>
            <w:r>
              <w:rPr>
                <w:rFonts w:hint="eastAsia" w:ascii="宋体" w:hAnsi="宋体" w:cs="宋体"/>
                <w:b/>
                <w:color w:val="000000" w:themeColor="text1"/>
                <w:kern w:val="0"/>
                <w:sz w:val="20"/>
                <w:szCs w:val="20"/>
              </w:rPr>
              <w:t>12,854.18</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439.94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995.59</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一般公共服务支出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1,466.27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1,466.27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20110</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1,287.77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1,287.77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1,080.48</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1,080.48</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2011006</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军队转业干部安置</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24.65</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24.65</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2011011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公务员招考</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103.42</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103.42</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其他人力资源事务支出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79.22</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79.22</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其他一般公共服务支出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178.50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178.50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2019999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其他一般公共服务支出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178.50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178.50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教育支出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422.52</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422.52</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20503</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职业教育</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340.70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340.70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中专教育</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119.93</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119.93</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技校教育</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220.77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220.77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20508</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进修及培训</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2050802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干部教育</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社会保障和就业支出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10,754.90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themeColor="text1"/>
                <w:sz w:val="20"/>
                <w:szCs w:val="20"/>
              </w:rPr>
            </w:pPr>
            <w:r>
              <w:rPr>
                <w:rFonts w:hint="eastAsia" w:ascii="宋体" w:hAnsi="宋体" w:cs="宋体"/>
                <w:b/>
                <w:color w:val="000000" w:themeColor="text1"/>
                <w:kern w:val="0"/>
                <w:sz w:val="20"/>
                <w:szCs w:val="20"/>
              </w:rPr>
              <w:t>10,261.84</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439.94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53.12</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人力资源和社会保障管理事务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8,067.85</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themeColor="text1"/>
                <w:sz w:val="20"/>
                <w:szCs w:val="20"/>
              </w:rPr>
            </w:pPr>
            <w:r>
              <w:rPr>
                <w:rFonts w:hint="eastAsia" w:ascii="宋体" w:hAnsi="宋体" w:cs="宋体"/>
                <w:b/>
                <w:color w:val="000000" w:themeColor="text1"/>
                <w:kern w:val="0"/>
                <w:sz w:val="20"/>
                <w:szCs w:val="20"/>
              </w:rPr>
              <w:t>7,574.79</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439.94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53.12</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873.75</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873.75</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一般行政管理事务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129.20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129.20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2080104</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综合业务管理</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384.43</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384.43</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2080106</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就业管理事务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2080107</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社会保险业务管理事务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2080108</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信息化建设</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420.44</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420.44</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社会保险经办机构</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4,043.90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4,043.90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2080110</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劳动关系和维权</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1,270.44</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1,270.44</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其他人力资源和社会保障管理事务支出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911.69</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FF0000"/>
                <w:sz w:val="20"/>
                <w:szCs w:val="20"/>
              </w:rPr>
            </w:pPr>
            <w:r>
              <w:rPr>
                <w:rFonts w:hint="eastAsia" w:ascii="宋体" w:hAnsi="宋体" w:cs="宋体"/>
                <w:color w:val="000000" w:themeColor="text1"/>
                <w:kern w:val="0"/>
                <w:sz w:val="20"/>
                <w:szCs w:val="20"/>
              </w:rPr>
              <w:t>418.63</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439.94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53.12</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民政管理事务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2080204</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拥军优属</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20805</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行政事业单位离退休</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1,113.90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1,113.90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归口管理的行政单位离退休</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558.86</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558.86</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2.35</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2.35</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552.69</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552.69</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20806</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企业改革补助</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202.31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202.31</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企业关闭破产补助</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其他企业改革发展补助</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20807</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就业补助</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830.73</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830.73</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就业创业服务补贴</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432.69</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432.69</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职业培训补贴</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393.04</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393.04</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其他就业补助支出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20808</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抚恤</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129.21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129.21</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129.21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129.21</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其他社会保障和就业支出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380.90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380.90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2089901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其他社会保障和就业支出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380.90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380.90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医疗卫生与计划生育支出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397.59</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397.59</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21011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行政事业单位医疗</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349.59</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349.59</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行政单位医疗</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58.38</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58.38</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291.21</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291.21</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其他医疗卫生与计划生育支出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2109901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其他医疗卫生与计划生育支出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住房保障支出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305.97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305.97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22102</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住房改革支出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305.97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305.97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305.97</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305.97</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942.46</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942.46</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22999</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942.46</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942.46</w:t>
            </w:r>
          </w:p>
        </w:tc>
      </w:tr>
      <w:tr>
        <w:tblPrEx>
          <w:tblLayout w:type="fixed"/>
          <w:tblCellMar>
            <w:top w:w="0" w:type="dxa"/>
            <w:left w:w="0" w:type="dxa"/>
            <w:bottom w:w="0" w:type="dxa"/>
            <w:right w:w="0" w:type="dxa"/>
          </w:tblCellMar>
        </w:tblPrEx>
        <w:trPr>
          <w:trHeight w:val="300" w:hRule="atLeast"/>
          <w:jc w:val="center"/>
        </w:trPr>
        <w:tc>
          <w:tcPr>
            <w:tcW w:w="16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2299901</w:t>
            </w:r>
          </w:p>
        </w:tc>
        <w:tc>
          <w:tcPr>
            <w:tcW w:w="2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942.46</w:t>
            </w:r>
          </w:p>
        </w:tc>
        <w:tc>
          <w:tcPr>
            <w:tcW w:w="1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3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942.46</w:t>
            </w:r>
          </w:p>
        </w:tc>
      </w:tr>
      <w:tr>
        <w:tblPrEx>
          <w:tblLayout w:type="fixed"/>
          <w:tblCellMar>
            <w:top w:w="0" w:type="dxa"/>
            <w:left w:w="0" w:type="dxa"/>
            <w:bottom w:w="0" w:type="dxa"/>
            <w:right w:w="0" w:type="dxa"/>
          </w:tblCellMar>
        </w:tblPrEx>
        <w:trPr>
          <w:trHeight w:val="300" w:hRule="atLeast"/>
          <w:jc w:val="center"/>
        </w:trPr>
        <w:tc>
          <w:tcPr>
            <w:tcW w:w="13927"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42" w:type="dxa"/>
        <w:tblInd w:w="0" w:type="dxa"/>
        <w:tblLayout w:type="fixed"/>
        <w:tblCellMar>
          <w:top w:w="0" w:type="dxa"/>
          <w:left w:w="0" w:type="dxa"/>
          <w:bottom w:w="0" w:type="dxa"/>
          <w:right w:w="0" w:type="dxa"/>
        </w:tblCellMar>
      </w:tblPr>
      <w:tblGrid>
        <w:gridCol w:w="1592"/>
        <w:gridCol w:w="3180"/>
        <w:gridCol w:w="1455"/>
        <w:gridCol w:w="2360"/>
        <w:gridCol w:w="1405"/>
        <w:gridCol w:w="1395"/>
        <w:gridCol w:w="1050"/>
        <w:gridCol w:w="1505"/>
      </w:tblGrid>
      <w:tr>
        <w:tblPrEx>
          <w:tblLayout w:type="fixed"/>
          <w:tblCellMar>
            <w:top w:w="0" w:type="dxa"/>
            <w:left w:w="0" w:type="dxa"/>
            <w:bottom w:w="0" w:type="dxa"/>
            <w:right w:w="0" w:type="dxa"/>
          </w:tblCellMar>
        </w:tblPrEx>
        <w:trPr>
          <w:trHeight w:val="375" w:hRule="atLeast"/>
        </w:trPr>
        <w:tc>
          <w:tcPr>
            <w:tcW w:w="13942" w:type="dxa"/>
            <w:gridSpan w:val="8"/>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支出决算表</w:t>
            </w:r>
          </w:p>
        </w:tc>
      </w:tr>
      <w:tr>
        <w:tblPrEx>
          <w:tblLayout w:type="fixed"/>
          <w:tblCellMar>
            <w:top w:w="0" w:type="dxa"/>
            <w:left w:w="0" w:type="dxa"/>
            <w:bottom w:w="0" w:type="dxa"/>
            <w:right w:w="0" w:type="dxa"/>
          </w:tblCellMar>
        </w:tblPrEx>
        <w:trPr>
          <w:trHeight w:val="300" w:hRule="atLeast"/>
        </w:trPr>
        <w:tc>
          <w:tcPr>
            <w:tcW w:w="1592"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18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45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6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40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9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5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505"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公开03表</w:t>
            </w:r>
          </w:p>
        </w:tc>
      </w:tr>
      <w:tr>
        <w:tblPrEx>
          <w:tblLayout w:type="fixed"/>
          <w:tblCellMar>
            <w:top w:w="0" w:type="dxa"/>
            <w:left w:w="0" w:type="dxa"/>
            <w:bottom w:w="0" w:type="dxa"/>
            <w:right w:w="0" w:type="dxa"/>
          </w:tblCellMar>
        </w:tblPrEx>
        <w:trPr>
          <w:trHeight w:val="300" w:hRule="atLeast"/>
        </w:trPr>
        <w:tc>
          <w:tcPr>
            <w:tcW w:w="4772"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22"/>
              </w:rPr>
              <w:t>部门：平顶山市人力资源和社会保障局</w:t>
            </w:r>
          </w:p>
        </w:tc>
        <w:tc>
          <w:tcPr>
            <w:tcW w:w="145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6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40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9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5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505"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0" w:type="dxa"/>
            <w:left w:w="0" w:type="dxa"/>
            <w:bottom w:w="0" w:type="dxa"/>
            <w:right w:w="0" w:type="dxa"/>
          </w:tblCellMar>
        </w:tblPrEx>
        <w:trPr>
          <w:trHeight w:val="300" w:hRule="atLeast"/>
        </w:trPr>
        <w:tc>
          <w:tcPr>
            <w:tcW w:w="4772" w:type="dxa"/>
            <w:gridSpan w:val="2"/>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45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2360"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40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39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050"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505" w:type="dxa"/>
            <w:vMerge w:val="restart"/>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Layout w:type="fixed"/>
          <w:tblCellMar>
            <w:top w:w="0" w:type="dxa"/>
            <w:left w:w="0" w:type="dxa"/>
            <w:bottom w:w="0" w:type="dxa"/>
            <w:right w:w="0" w:type="dxa"/>
          </w:tblCellMar>
        </w:tblPrEx>
        <w:trPr>
          <w:trHeight w:val="300" w:hRule="atLeast"/>
        </w:trPr>
        <w:tc>
          <w:tcPr>
            <w:tcW w:w="15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18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15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18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15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18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77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0" w:type="dxa"/>
            <w:left w:w="0" w:type="dxa"/>
            <w:bottom w:w="0" w:type="dxa"/>
            <w:right w:w="0" w:type="dxa"/>
          </w:tblCellMar>
        </w:tblPrEx>
        <w:trPr>
          <w:trHeight w:val="300" w:hRule="atLeast"/>
        </w:trPr>
        <w:tc>
          <w:tcPr>
            <w:tcW w:w="477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12,984.09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8,699.22</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4,284.87</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一般公共服务支出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1,435.19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1,107.69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327.50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20110</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1,327.05</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1,107.69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219.36</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1,084.20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1,084.20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2011006</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军队转业干部安置</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69.00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69.00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2011011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公务员招考</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88.12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16.12</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72.00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其他人力资源事务支出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85.73</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78.36</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其他一般公共服务支出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108.14</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108.14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2019999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其他一般公共服务支出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108.14</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108.14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教育支出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237.22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237.22</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20503</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职业教育</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155.40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155.40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中专教育</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30.10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30.10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技校教育</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125.30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125.30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20508</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进修及培训</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2050802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干部教育</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社会保障和就业支出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9,385.10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6,874.59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2,510.51</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人力资源和社会保障管理事务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6,699.53</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5,381.89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1,317.64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865.07</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865.07</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一般行政管理事务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15.60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15.60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2080104</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综合业务管理</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558.96</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558.96</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2080106</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就业管理事务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2080107</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社会保险业务管理事务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2080108</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信息化建设</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366.81</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366.81</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社会保险经办机构</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3,765.99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3,765.99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2080110</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劳动关系和维权</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267.27</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257.27</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其他人力资源和社会保障管理事务支出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825.83</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740.83</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85.00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民政管理事务</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2080204</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拥军优属</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20805</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行政事业单位离退休</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1,111.40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1,111.40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归口管理的行政单位离退休</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544.66</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544.66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564.43</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564.43</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20806</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企业改革补助</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208.70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208.70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企业关闭破产补助</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其他企业改革发展补助</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20807</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就业补助</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819.87</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819.87</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就业创业服务补贴</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426.74</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426.74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职业培训补贴</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388.13</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388.13</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其他就业补助支出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20808</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抚恤</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110.50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110.50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110.50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110.50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其他社会保障和就业支出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405.09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62.09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343.00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2089901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其他社会保障和就业支出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405.09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62.09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343.00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医疗卫生与计划生育支出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437.76</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21011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行政事业单位医疗</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行政单位医疗</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54.69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54.69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335.08</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335.08</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其他医疗卫生与计划生育支出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2109901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其他医疗卫生与计划生育支出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住房保障支出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22102</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住房改革支出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1,186.02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24.38</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1,161.64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22999</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1,186.02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24.38</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1,161.64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2299901</w:t>
            </w:r>
          </w:p>
        </w:tc>
        <w:tc>
          <w:tcPr>
            <w:tcW w:w="3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1,186.02</w:t>
            </w:r>
          </w:p>
        </w:tc>
        <w:tc>
          <w:tcPr>
            <w:tcW w:w="2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24.38</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1,161.64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trPr>
        <w:tc>
          <w:tcPr>
            <w:tcW w:w="13942"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tbl>
      <w:tblPr>
        <w:tblStyle w:val="8"/>
        <w:tblW w:w="13912" w:type="dxa"/>
        <w:jc w:val="center"/>
        <w:tblInd w:w="0" w:type="dxa"/>
        <w:tblLayout w:type="fixed"/>
        <w:tblCellMar>
          <w:top w:w="0" w:type="dxa"/>
          <w:left w:w="0" w:type="dxa"/>
          <w:bottom w:w="0" w:type="dxa"/>
          <w:right w:w="0" w:type="dxa"/>
        </w:tblCellMar>
      </w:tblPr>
      <w:tblGrid>
        <w:gridCol w:w="3770"/>
        <w:gridCol w:w="569"/>
        <w:gridCol w:w="1143"/>
        <w:gridCol w:w="3270"/>
        <w:gridCol w:w="1201"/>
        <w:gridCol w:w="1049"/>
        <w:gridCol w:w="1320"/>
        <w:gridCol w:w="1590"/>
      </w:tblGrid>
      <w:tr>
        <w:tblPrEx>
          <w:tblLayout w:type="fixed"/>
          <w:tblCellMar>
            <w:top w:w="0" w:type="dxa"/>
            <w:left w:w="0" w:type="dxa"/>
            <w:bottom w:w="0" w:type="dxa"/>
            <w:right w:w="0" w:type="dxa"/>
          </w:tblCellMar>
        </w:tblPrEx>
        <w:trPr>
          <w:trHeight w:val="375" w:hRule="atLeast"/>
          <w:jc w:val="center"/>
        </w:trPr>
        <w:tc>
          <w:tcPr>
            <w:tcW w:w="13912" w:type="dxa"/>
            <w:gridSpan w:val="8"/>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财政拨款收入支出决算总表</w:t>
            </w: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nil"/>
              <w:bottom w:val="nil"/>
              <w:right w:val="nil"/>
            </w:tcBorders>
            <w:shd w:val="clear" w:color="auto" w:fill="auto"/>
            <w:noWrap/>
            <w:tcMar>
              <w:top w:w="15" w:type="dxa"/>
              <w:left w:w="15" w:type="dxa"/>
              <w:right w:w="15" w:type="dxa"/>
            </w:tcMar>
            <w:vAlign w:val="center"/>
          </w:tcPr>
          <w:p>
            <w:pPr>
              <w:jc w:val="left"/>
              <w:rPr>
                <w:rFonts w:ascii="Tahoma" w:hAnsi="Tahoma" w:eastAsia="Tahoma" w:cs="Tahoma"/>
                <w:color w:val="000000"/>
                <w:sz w:val="16"/>
                <w:szCs w:val="16"/>
              </w:rPr>
            </w:pPr>
          </w:p>
        </w:tc>
        <w:tc>
          <w:tcPr>
            <w:tcW w:w="569"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43"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27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201"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49"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2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59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公开04表</w:t>
            </w: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部门：平顶山市人力资源和社会保障局</w:t>
            </w:r>
          </w:p>
        </w:tc>
        <w:tc>
          <w:tcPr>
            <w:tcW w:w="569"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43"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27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201"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49"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2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590"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0" w:type="dxa"/>
            <w:left w:w="0" w:type="dxa"/>
            <w:bottom w:w="0" w:type="dxa"/>
            <w:right w:w="0" w:type="dxa"/>
          </w:tblCellMar>
        </w:tblPrEx>
        <w:trPr>
          <w:trHeight w:val="300" w:hRule="atLeast"/>
          <w:jc w:val="center"/>
        </w:trPr>
        <w:tc>
          <w:tcPr>
            <w:tcW w:w="5482" w:type="dxa"/>
            <w:gridSpan w:val="3"/>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430" w:type="dxa"/>
            <w:gridSpan w:val="5"/>
            <w:tcBorders>
              <w:top w:val="single" w:color="80808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312" w:hRule="atLeast"/>
          <w:jc w:val="center"/>
        </w:trPr>
        <w:tc>
          <w:tcPr>
            <w:tcW w:w="37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5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1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2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widowControl/>
              <w:textAlignment w:val="bottom"/>
              <w:rPr>
                <w:rFonts w:ascii="宋体" w:hAnsi="宋体" w:cs="宋体"/>
                <w:color w:val="000000"/>
                <w:sz w:val="20"/>
                <w:szCs w:val="20"/>
              </w:rPr>
            </w:pPr>
            <w:r>
              <w:rPr>
                <w:rFonts w:hint="eastAsia" w:ascii="宋体" w:hAnsi="宋体" w:cs="宋体"/>
                <w:color w:val="000000"/>
                <w:kern w:val="0"/>
                <w:sz w:val="20"/>
                <w:szCs w:val="20"/>
              </w:rPr>
              <w:t>项目</w:t>
            </w:r>
          </w:p>
        </w:tc>
        <w:tc>
          <w:tcPr>
            <w:tcW w:w="120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04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3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5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Layout w:type="fixed"/>
          <w:tblCellMar>
            <w:top w:w="0" w:type="dxa"/>
            <w:left w:w="0" w:type="dxa"/>
            <w:bottom w:w="0" w:type="dxa"/>
            <w:right w:w="0" w:type="dxa"/>
          </w:tblCellMar>
        </w:tblPrEx>
        <w:trPr>
          <w:trHeight w:val="600" w:hRule="atLeast"/>
          <w:jc w:val="center"/>
        </w:trPr>
        <w:tc>
          <w:tcPr>
            <w:tcW w:w="37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20"/>
                <w:szCs w:val="20"/>
              </w:rPr>
            </w:pPr>
          </w:p>
        </w:tc>
        <w:tc>
          <w:tcPr>
            <w:tcW w:w="5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rPr>
                <w:rFonts w:ascii="宋体" w:hAnsi="宋体" w:cs="宋体"/>
                <w:color w:val="000000"/>
                <w:sz w:val="20"/>
                <w:szCs w:val="20"/>
              </w:rPr>
            </w:pPr>
          </w:p>
        </w:tc>
        <w:tc>
          <w:tcPr>
            <w:tcW w:w="12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4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3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textAlignment w:val="bottom"/>
              <w:rPr>
                <w:rFonts w:ascii="宋体" w:hAnsi="宋体" w:cs="宋体"/>
                <w:color w:val="000000"/>
                <w:sz w:val="20"/>
                <w:szCs w:val="20"/>
              </w:rPr>
            </w:pPr>
            <w:r>
              <w:rPr>
                <w:rFonts w:hint="eastAsia" w:ascii="宋体" w:hAnsi="宋体" w:cs="宋体"/>
                <w:color w:val="000000"/>
                <w:kern w:val="0"/>
                <w:sz w:val="20"/>
                <w:szCs w:val="20"/>
              </w:rPr>
              <w:t>栏次</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12,854.18</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1,435.19</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1,435.19</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237.22</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237.22</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8,925.65</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8,925.65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437.76</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437.76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12,854.18</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11,338.62</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11,338.62</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656.14</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2,171.71</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2,171.71</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656.14</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7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13,510.33</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12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13,510.33</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13,510.33</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645" w:hRule="atLeast"/>
          <w:jc w:val="center"/>
        </w:trPr>
        <w:tc>
          <w:tcPr>
            <w:tcW w:w="13912"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33" w:type="dxa"/>
        <w:tblInd w:w="0" w:type="dxa"/>
        <w:tblLayout w:type="fixed"/>
        <w:tblCellMar>
          <w:top w:w="0" w:type="dxa"/>
          <w:left w:w="0" w:type="dxa"/>
          <w:bottom w:w="0" w:type="dxa"/>
          <w:right w:w="0" w:type="dxa"/>
        </w:tblCellMar>
      </w:tblPr>
      <w:tblGrid>
        <w:gridCol w:w="3479"/>
        <w:gridCol w:w="306"/>
        <w:gridCol w:w="306"/>
        <w:gridCol w:w="3620"/>
        <w:gridCol w:w="2074"/>
        <w:gridCol w:w="2074"/>
        <w:gridCol w:w="2074"/>
      </w:tblGrid>
      <w:tr>
        <w:tblPrEx>
          <w:tblLayout w:type="fixed"/>
          <w:tblCellMar>
            <w:top w:w="0" w:type="dxa"/>
            <w:left w:w="0" w:type="dxa"/>
            <w:bottom w:w="0" w:type="dxa"/>
            <w:right w:w="0" w:type="dxa"/>
          </w:tblCellMar>
        </w:tblPrEx>
        <w:trPr>
          <w:trHeight w:val="375" w:hRule="atLeast"/>
        </w:trPr>
        <w:tc>
          <w:tcPr>
            <w:tcW w:w="13933" w:type="dxa"/>
            <w:gridSpan w:val="7"/>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一般公共预算财政拨款支出决算表</w:t>
            </w:r>
          </w:p>
        </w:tc>
      </w:tr>
      <w:tr>
        <w:tblPrEx>
          <w:tblLayout w:type="fixed"/>
          <w:tblCellMar>
            <w:top w:w="0" w:type="dxa"/>
            <w:left w:w="0" w:type="dxa"/>
            <w:bottom w:w="0" w:type="dxa"/>
            <w:right w:w="0" w:type="dxa"/>
          </w:tblCellMar>
        </w:tblPrEx>
        <w:trPr>
          <w:trHeight w:val="300" w:hRule="atLeast"/>
        </w:trPr>
        <w:tc>
          <w:tcPr>
            <w:tcW w:w="3479" w:type="dxa"/>
            <w:tcBorders>
              <w:top w:val="nil"/>
              <w:left w:val="nil"/>
              <w:bottom w:val="nil"/>
              <w:right w:val="nil"/>
            </w:tcBorders>
            <w:shd w:val="clear" w:color="auto" w:fill="auto"/>
            <w:noWrap/>
            <w:tcMar>
              <w:top w:w="15" w:type="dxa"/>
              <w:left w:w="15" w:type="dxa"/>
              <w:right w:w="15" w:type="dxa"/>
            </w:tcMar>
            <w:vAlign w:val="center"/>
          </w:tcPr>
          <w:p>
            <w:pPr>
              <w:jc w:val="left"/>
              <w:rPr>
                <w:rFonts w:ascii="Tahoma" w:hAnsi="Tahoma" w:eastAsia="Tahoma" w:cs="Tahoma"/>
                <w:color w:val="000000"/>
                <w:sz w:val="16"/>
                <w:szCs w:val="16"/>
              </w:rPr>
            </w:pPr>
          </w:p>
        </w:tc>
        <w:tc>
          <w:tcPr>
            <w:tcW w:w="306"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06"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62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公开05表</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22"/>
              </w:rPr>
              <w:t>部门：平顶山市人力资源和社会保障局</w:t>
            </w:r>
          </w:p>
        </w:tc>
        <w:tc>
          <w:tcPr>
            <w:tcW w:w="362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74"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0" w:type="dxa"/>
            <w:left w:w="0" w:type="dxa"/>
            <w:bottom w:w="0" w:type="dxa"/>
            <w:right w:w="0" w:type="dxa"/>
          </w:tblCellMar>
        </w:tblPrEx>
        <w:trPr>
          <w:trHeight w:val="300" w:hRule="atLeast"/>
        </w:trPr>
        <w:tc>
          <w:tcPr>
            <w:tcW w:w="7711" w:type="dxa"/>
            <w:gridSpan w:val="4"/>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6222" w:type="dxa"/>
            <w:gridSpan w:val="3"/>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Layout w:type="fixed"/>
          <w:tblCellMar>
            <w:top w:w="0" w:type="dxa"/>
            <w:left w:w="0" w:type="dxa"/>
            <w:bottom w:w="0" w:type="dxa"/>
            <w:right w:w="0" w:type="dxa"/>
          </w:tblCellMar>
        </w:tblPrEx>
        <w:trPr>
          <w:trHeight w:val="312" w:hRule="atLeast"/>
        </w:trPr>
        <w:tc>
          <w:tcPr>
            <w:tcW w:w="409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6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0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20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Layout w:type="fixed"/>
          <w:tblCellMar>
            <w:top w:w="0" w:type="dxa"/>
            <w:left w:w="0" w:type="dxa"/>
            <w:bottom w:w="0" w:type="dxa"/>
            <w:right w:w="0" w:type="dxa"/>
          </w:tblCellMar>
        </w:tblPrEx>
        <w:trPr>
          <w:trHeight w:val="312" w:hRule="atLeast"/>
        </w:trPr>
        <w:tc>
          <w:tcPr>
            <w:tcW w:w="409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6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12" w:hRule="atLeast"/>
        </w:trPr>
        <w:tc>
          <w:tcPr>
            <w:tcW w:w="409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6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771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Layout w:type="fixed"/>
          <w:tblCellMar>
            <w:top w:w="0" w:type="dxa"/>
            <w:left w:w="0" w:type="dxa"/>
            <w:bottom w:w="0" w:type="dxa"/>
            <w:right w:w="0" w:type="dxa"/>
          </w:tblCellMar>
        </w:tblPrEx>
        <w:trPr>
          <w:trHeight w:val="300" w:hRule="atLeast"/>
        </w:trPr>
        <w:tc>
          <w:tcPr>
            <w:tcW w:w="771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11,338.62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8,215.39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3,123.23</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一般公共服务支出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1,435.19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1,107.69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327.50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20110</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1,327.05</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1,107.69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219.36</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1,084.20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1,084.20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2011006</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军队转业干部安置</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69.00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69.00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2011011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公务员招考</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88.12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16.12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72.00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2011099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其他人力资源事务支出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85.73</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78.36</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20199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其他一般公共服务支出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108.14</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108.14</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2019999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其他一般公共服务支出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108.14</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108.14</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教育支出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237.22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237.22</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20503</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职业教育</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155.40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155.40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中专教育</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30.10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30.10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2050303</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技校教育</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125.30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125.30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20508</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进修及培训</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81.82</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2050802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干部教育</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81.82</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社会保障和就业支出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8,925.65</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6,415.14</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2,510.51</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人力资源和社会保障管理事务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6,240.08</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4,922.44</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1,317.64</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行政运行</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865.07</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865.07</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一般行政管理事务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15.60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15.60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2080104</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综合业务管理</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558.96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558.96</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2080106</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就业管理事务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2080107</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社会保险业务管理事务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2080108</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信息化建设</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366.81</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366.81</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社会保险经办机构</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3,765.99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3,765.99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2080110</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劳动关系和维权</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267.27</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257.27</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其他人力资源和社会保障管理事务支出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366.38</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281.38</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85.00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民政管理事务</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2080204</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拥军优属</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20805</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行政事业单位离退休</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1,111.40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1,111.40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归口管理的行政单位离退休</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544.66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544.66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564.43</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564.43</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20806</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企业改革补助</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208.70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208.70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企业关闭破产补助</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2080699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其他企业改革发展补助</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176.01</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20807</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就业补助</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819.87</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819.87</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就业创业服务补贴</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426.74</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426.74</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职业培训补贴</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388.13</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388.13</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2080799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其他就业补助支出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20808</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抚恤</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110.50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110.50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110.50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110.50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其他社会保障和就业支出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405.09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62.09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343.00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2089901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其他社会保障和就业支出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405.09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62.09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343.00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医疗卫生与计划生育支出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437.76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21011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行政事业单位医疗</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389.76</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行政单位医疗</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54.69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335.08</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335.08</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21099</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其他医疗卫生与计划生育支出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48.00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2109901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其他医疗卫生与计划生育支出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48.00</w:t>
            </w: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住房保障支出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22102</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住房改革支出</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Layout w:type="fixed"/>
          <w:tblCellMar>
            <w:top w:w="0" w:type="dxa"/>
            <w:left w:w="0" w:type="dxa"/>
            <w:bottom w:w="0" w:type="dxa"/>
            <w:right w:w="0" w:type="dxa"/>
          </w:tblCellMar>
        </w:tblPrEx>
        <w:trPr>
          <w:trHeight w:val="300" w:hRule="atLeast"/>
        </w:trPr>
        <w:tc>
          <w:tcPr>
            <w:tcW w:w="40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3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2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trPr>
        <w:tc>
          <w:tcPr>
            <w:tcW w:w="1393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27" w:type="dxa"/>
        <w:jc w:val="center"/>
        <w:tblInd w:w="0" w:type="dxa"/>
        <w:tblLayout w:type="fixed"/>
        <w:tblCellMar>
          <w:top w:w="0" w:type="dxa"/>
          <w:left w:w="0" w:type="dxa"/>
          <w:bottom w:w="0" w:type="dxa"/>
          <w:right w:w="0" w:type="dxa"/>
        </w:tblCellMar>
      </w:tblPr>
      <w:tblGrid>
        <w:gridCol w:w="962"/>
        <w:gridCol w:w="2705"/>
        <w:gridCol w:w="1120"/>
        <w:gridCol w:w="1070"/>
        <w:gridCol w:w="2055"/>
        <w:gridCol w:w="1140"/>
        <w:gridCol w:w="915"/>
        <w:gridCol w:w="2340"/>
        <w:gridCol w:w="1620"/>
      </w:tblGrid>
      <w:tr>
        <w:tblPrEx>
          <w:tblLayout w:type="fixed"/>
          <w:tblCellMar>
            <w:top w:w="0" w:type="dxa"/>
            <w:left w:w="0" w:type="dxa"/>
            <w:bottom w:w="0" w:type="dxa"/>
            <w:right w:w="0" w:type="dxa"/>
          </w:tblCellMar>
        </w:tblPrEx>
        <w:trPr>
          <w:trHeight w:val="375" w:hRule="atLeast"/>
          <w:jc w:val="center"/>
        </w:trPr>
        <w:tc>
          <w:tcPr>
            <w:tcW w:w="13927" w:type="dxa"/>
            <w:gridSpan w:val="9"/>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hint="eastAsia" w:ascii="黑体" w:hAnsi="宋体" w:eastAsia="黑体" w:cs="黑体"/>
                <w:color w:val="000000"/>
                <w:kern w:val="0"/>
                <w:sz w:val="30"/>
                <w:szCs w:val="30"/>
              </w:rPr>
              <w:t>一般公共预算财政拨款基本支出决算表</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nil"/>
              <w:bottom w:val="nil"/>
              <w:right w:val="nil"/>
            </w:tcBorders>
            <w:shd w:val="clear" w:color="auto" w:fill="auto"/>
            <w:noWrap/>
            <w:tcMar>
              <w:top w:w="15" w:type="dxa"/>
              <w:left w:w="15" w:type="dxa"/>
              <w:right w:w="15" w:type="dxa"/>
            </w:tcMar>
            <w:vAlign w:val="center"/>
          </w:tcPr>
          <w:p>
            <w:pPr>
              <w:jc w:val="left"/>
              <w:rPr>
                <w:rFonts w:ascii="Tahoma" w:hAnsi="Tahoma" w:eastAsia="Tahoma" w:cs="Tahoma"/>
                <w:color w:val="000000"/>
                <w:sz w:val="16"/>
                <w:szCs w:val="16"/>
              </w:rPr>
            </w:pPr>
          </w:p>
        </w:tc>
        <w:tc>
          <w:tcPr>
            <w:tcW w:w="270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2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7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5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4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91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4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62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22"/>
              </w:rPr>
              <w:t>公开06表</w:t>
            </w:r>
          </w:p>
        </w:tc>
      </w:tr>
      <w:tr>
        <w:tblPrEx>
          <w:tblLayout w:type="fixed"/>
          <w:tblCellMar>
            <w:top w:w="0" w:type="dxa"/>
            <w:left w:w="0" w:type="dxa"/>
            <w:bottom w:w="0" w:type="dxa"/>
            <w:right w:w="0" w:type="dxa"/>
          </w:tblCellMar>
        </w:tblPrEx>
        <w:trPr>
          <w:trHeight w:val="300" w:hRule="atLeast"/>
          <w:jc w:val="center"/>
        </w:trPr>
        <w:tc>
          <w:tcPr>
            <w:tcW w:w="366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kern w:val="0"/>
                <w:sz w:val="20"/>
                <w:szCs w:val="20"/>
              </w:rPr>
              <w:t>部门：平顶山市人力资源和社会保障局</w:t>
            </w:r>
          </w:p>
        </w:tc>
        <w:tc>
          <w:tcPr>
            <w:tcW w:w="112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07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5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14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91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34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620" w:type="dxa"/>
            <w:tcBorders>
              <w:top w:val="nil"/>
              <w:left w:val="nil"/>
              <w:bottom w:val="single" w:color="80808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18"/>
                <w:szCs w:val="18"/>
              </w:rPr>
              <w:t>金额单位：万元</w:t>
            </w:r>
          </w:p>
        </w:tc>
      </w:tr>
      <w:tr>
        <w:tblPrEx>
          <w:tblLayout w:type="fixed"/>
          <w:tblCellMar>
            <w:top w:w="0" w:type="dxa"/>
            <w:left w:w="0" w:type="dxa"/>
            <w:bottom w:w="0" w:type="dxa"/>
            <w:right w:w="0" w:type="dxa"/>
          </w:tblCellMar>
        </w:tblPrEx>
        <w:trPr>
          <w:trHeight w:val="300" w:hRule="atLeast"/>
          <w:jc w:val="center"/>
        </w:trPr>
        <w:tc>
          <w:tcPr>
            <w:tcW w:w="4787" w:type="dxa"/>
            <w:gridSpan w:val="3"/>
            <w:tcBorders>
              <w:top w:val="single" w:color="80808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9140" w:type="dxa"/>
            <w:gridSpan w:val="6"/>
            <w:tcBorders>
              <w:top w:val="single" w:color="80808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Layout w:type="fixed"/>
          <w:tblCellMar>
            <w:top w:w="0" w:type="dxa"/>
            <w:left w:w="0" w:type="dxa"/>
            <w:bottom w:w="0" w:type="dxa"/>
            <w:right w:w="0" w:type="dxa"/>
          </w:tblCellMar>
        </w:tblPrEx>
        <w:trPr>
          <w:trHeight w:val="312" w:hRule="atLeast"/>
          <w:jc w:val="center"/>
        </w:trPr>
        <w:tc>
          <w:tcPr>
            <w:tcW w:w="96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10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9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3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Layout w:type="fixed"/>
          <w:tblCellMar>
            <w:top w:w="0" w:type="dxa"/>
            <w:left w:w="0" w:type="dxa"/>
            <w:bottom w:w="0" w:type="dxa"/>
            <w:right w:w="0" w:type="dxa"/>
          </w:tblCellMar>
        </w:tblPrEx>
        <w:trPr>
          <w:trHeight w:val="312" w:hRule="atLeast"/>
          <w:jc w:val="center"/>
        </w:trPr>
        <w:tc>
          <w:tcPr>
            <w:tcW w:w="9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3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4,416.82</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668.60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1,097.18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77.14</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937.78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30.62</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1,058.68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61.33</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2.31</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0.75</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86.82</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1.47</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61.33</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563.00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30.07</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31.06</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281.74</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5.19</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42.19</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22.63</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26.78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39.94</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302.79</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123.97</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17.57</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3,068.64</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0.14</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39.58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17.34</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507.39</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4.01</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110.50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2,324.23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120.55</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41.29</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20.30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68.07</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5.68</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20.63</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其他对个人和家庭的补助支出</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16.24</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66.07</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1.73</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5.72</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0" w:hRule="atLeast"/>
          <w:jc w:val="center"/>
        </w:trPr>
        <w:tc>
          <w:tcPr>
            <w:tcW w:w="36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7,485.46</w:t>
            </w:r>
          </w:p>
        </w:tc>
        <w:tc>
          <w:tcPr>
            <w:tcW w:w="75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729.93</w:t>
            </w:r>
          </w:p>
        </w:tc>
      </w:tr>
      <w:tr>
        <w:tblPrEx>
          <w:tblLayout w:type="fixed"/>
          <w:tblCellMar>
            <w:top w:w="0" w:type="dxa"/>
            <w:left w:w="0" w:type="dxa"/>
            <w:bottom w:w="0" w:type="dxa"/>
            <w:right w:w="0" w:type="dxa"/>
          </w:tblCellMar>
        </w:tblPrEx>
        <w:trPr>
          <w:trHeight w:val="300" w:hRule="atLeast"/>
          <w:jc w:val="center"/>
        </w:trPr>
        <w:tc>
          <w:tcPr>
            <w:tcW w:w="13927"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83" w:type="dxa"/>
        <w:jc w:val="center"/>
        <w:tblInd w:w="0" w:type="dxa"/>
        <w:tblLayout w:type="fixed"/>
        <w:tblCellMar>
          <w:top w:w="15" w:type="dxa"/>
          <w:left w:w="15" w:type="dxa"/>
          <w:bottom w:w="15" w:type="dxa"/>
          <w:right w:w="15" w:type="dxa"/>
        </w:tblCellMar>
      </w:tblPr>
      <w:tblGrid>
        <w:gridCol w:w="1385"/>
        <w:gridCol w:w="735"/>
        <w:gridCol w:w="825"/>
        <w:gridCol w:w="885"/>
        <w:gridCol w:w="1320"/>
        <w:gridCol w:w="1395"/>
        <w:gridCol w:w="900"/>
        <w:gridCol w:w="1845"/>
        <w:gridCol w:w="1230"/>
        <w:gridCol w:w="1050"/>
        <w:gridCol w:w="1050"/>
        <w:gridCol w:w="1363"/>
      </w:tblGrid>
      <w:tr>
        <w:tblPrEx>
          <w:tblLayout w:type="fixed"/>
          <w:tblCellMar>
            <w:top w:w="15" w:type="dxa"/>
            <w:left w:w="15" w:type="dxa"/>
            <w:bottom w:w="15" w:type="dxa"/>
            <w:right w:w="15" w:type="dxa"/>
          </w:tblCellMar>
        </w:tblPrEx>
        <w:trPr>
          <w:trHeight w:val="555" w:hRule="atLeast"/>
          <w:jc w:val="center"/>
        </w:trPr>
        <w:tc>
          <w:tcPr>
            <w:tcW w:w="13983" w:type="dxa"/>
            <w:gridSpan w:val="12"/>
            <w:shd w:val="clear" w:color="auto" w:fill="auto"/>
            <w:vAlign w:val="center"/>
          </w:tcPr>
          <w:p>
            <w:pPr>
              <w:widowControl/>
              <w:jc w:val="center"/>
              <w:textAlignment w:val="center"/>
              <w:rPr>
                <w:rFonts w:ascii="黑体" w:hAnsi="Arial" w:eastAsia="黑体" w:cs="黑体"/>
                <w:color w:val="000000"/>
                <w:sz w:val="30"/>
                <w:szCs w:val="30"/>
              </w:rPr>
            </w:pPr>
            <w:r>
              <w:rPr>
                <w:rFonts w:hint="eastAsia" w:ascii="黑体" w:hAnsi="Arial" w:eastAsia="黑体" w:cs="黑体"/>
                <w:color w:val="000000"/>
                <w:kern w:val="0"/>
                <w:sz w:val="30"/>
                <w:szCs w:val="30"/>
              </w:rPr>
              <w:t>一般公共预算财政拨款“三公”经费支出决算表</w:t>
            </w:r>
          </w:p>
        </w:tc>
      </w:tr>
      <w:tr>
        <w:tblPrEx>
          <w:tblLayout w:type="fixed"/>
          <w:tblCellMar>
            <w:top w:w="15" w:type="dxa"/>
            <w:left w:w="15" w:type="dxa"/>
            <w:bottom w:w="15" w:type="dxa"/>
            <w:right w:w="15" w:type="dxa"/>
          </w:tblCellMar>
        </w:tblPrEx>
        <w:trPr>
          <w:trHeight w:val="301" w:hRule="atLeast"/>
          <w:jc w:val="center"/>
        </w:trPr>
        <w:tc>
          <w:tcPr>
            <w:tcW w:w="5150" w:type="dxa"/>
            <w:gridSpan w:val="5"/>
            <w:shd w:val="clear" w:color="auto" w:fill="auto"/>
            <w:vAlign w:val="center"/>
          </w:tcPr>
          <w:p>
            <w:pPr>
              <w:jc w:val="left"/>
              <w:rPr>
                <w:rFonts w:ascii="宋体" w:hAnsi="宋体" w:cs="宋体"/>
                <w:color w:val="000000"/>
                <w:sz w:val="18"/>
                <w:szCs w:val="18"/>
              </w:rPr>
            </w:pPr>
          </w:p>
        </w:tc>
        <w:tc>
          <w:tcPr>
            <w:tcW w:w="1395" w:type="dxa"/>
            <w:shd w:val="clear" w:color="auto" w:fill="auto"/>
            <w:vAlign w:val="center"/>
          </w:tcPr>
          <w:p>
            <w:pPr>
              <w:jc w:val="left"/>
              <w:rPr>
                <w:rFonts w:ascii="宋体" w:hAnsi="宋体" w:cs="宋体"/>
                <w:color w:val="000000"/>
                <w:sz w:val="18"/>
                <w:szCs w:val="18"/>
              </w:rPr>
            </w:pPr>
          </w:p>
        </w:tc>
        <w:tc>
          <w:tcPr>
            <w:tcW w:w="900" w:type="dxa"/>
            <w:shd w:val="clear" w:color="auto" w:fill="auto"/>
            <w:vAlign w:val="center"/>
          </w:tcPr>
          <w:p>
            <w:pPr>
              <w:jc w:val="left"/>
              <w:rPr>
                <w:rFonts w:ascii="宋体" w:hAnsi="宋体" w:cs="宋体"/>
                <w:color w:val="000000"/>
                <w:sz w:val="18"/>
                <w:szCs w:val="18"/>
              </w:rPr>
            </w:pPr>
          </w:p>
        </w:tc>
        <w:tc>
          <w:tcPr>
            <w:tcW w:w="1845" w:type="dxa"/>
            <w:shd w:val="clear" w:color="auto" w:fill="auto"/>
            <w:vAlign w:val="center"/>
          </w:tcPr>
          <w:p>
            <w:pPr>
              <w:jc w:val="left"/>
              <w:rPr>
                <w:rFonts w:ascii="宋体" w:hAnsi="宋体" w:cs="宋体"/>
                <w:color w:val="000000"/>
                <w:sz w:val="18"/>
                <w:szCs w:val="18"/>
              </w:rPr>
            </w:pPr>
          </w:p>
        </w:tc>
        <w:tc>
          <w:tcPr>
            <w:tcW w:w="1230" w:type="dxa"/>
            <w:shd w:val="clear" w:color="auto" w:fill="auto"/>
            <w:vAlign w:val="center"/>
          </w:tcPr>
          <w:p>
            <w:pPr>
              <w:jc w:val="left"/>
              <w:rPr>
                <w:rFonts w:ascii="宋体" w:hAnsi="宋体" w:cs="宋体"/>
                <w:color w:val="000000"/>
                <w:sz w:val="18"/>
                <w:szCs w:val="18"/>
              </w:rPr>
            </w:pPr>
          </w:p>
        </w:tc>
        <w:tc>
          <w:tcPr>
            <w:tcW w:w="1050" w:type="dxa"/>
            <w:shd w:val="clear" w:color="auto" w:fill="auto"/>
            <w:vAlign w:val="center"/>
          </w:tcPr>
          <w:p>
            <w:pPr>
              <w:widowControl/>
              <w:jc w:val="right"/>
              <w:textAlignment w:val="center"/>
              <w:rPr>
                <w:rFonts w:ascii="宋体" w:hAnsi="宋体" w:cs="宋体"/>
                <w:color w:val="000000"/>
                <w:sz w:val="22"/>
              </w:rPr>
            </w:pPr>
          </w:p>
        </w:tc>
        <w:tc>
          <w:tcPr>
            <w:tcW w:w="1050" w:type="dxa"/>
            <w:shd w:val="clear" w:color="auto" w:fill="auto"/>
            <w:vAlign w:val="center"/>
          </w:tcPr>
          <w:p>
            <w:pPr>
              <w:jc w:val="left"/>
              <w:rPr>
                <w:rFonts w:ascii="宋体" w:hAnsi="宋体" w:cs="宋体"/>
                <w:color w:val="000000"/>
                <w:sz w:val="18"/>
                <w:szCs w:val="18"/>
              </w:rPr>
            </w:pPr>
          </w:p>
        </w:tc>
        <w:tc>
          <w:tcPr>
            <w:tcW w:w="1363" w:type="dxa"/>
            <w:shd w:val="clear" w:color="auto" w:fill="auto"/>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公开07表</w:t>
            </w:r>
          </w:p>
        </w:tc>
      </w:tr>
      <w:tr>
        <w:tblPrEx>
          <w:tblLayout w:type="fixed"/>
          <w:tblCellMar>
            <w:top w:w="15" w:type="dxa"/>
            <w:left w:w="15" w:type="dxa"/>
            <w:bottom w:w="15" w:type="dxa"/>
            <w:right w:w="15" w:type="dxa"/>
          </w:tblCellMar>
        </w:tblPrEx>
        <w:trPr>
          <w:trHeight w:val="301" w:hRule="atLeast"/>
          <w:jc w:val="center"/>
        </w:trPr>
        <w:tc>
          <w:tcPr>
            <w:tcW w:w="5150" w:type="dxa"/>
            <w:gridSpan w:val="5"/>
            <w:tcBorders>
              <w:bottom w:val="single" w:color="auto" w:sz="4" w:space="0"/>
            </w:tcBorders>
            <w:shd w:val="clear" w:color="auto" w:fill="auto"/>
            <w:vAlign w:val="center"/>
          </w:tcPr>
          <w:p>
            <w:pPr>
              <w:jc w:val="left"/>
              <w:rPr>
                <w:rFonts w:ascii="宋体" w:hAnsi="宋体" w:cs="宋体"/>
                <w:color w:val="000000"/>
                <w:sz w:val="18"/>
                <w:szCs w:val="18"/>
              </w:rPr>
            </w:pPr>
            <w:r>
              <w:rPr>
                <w:rFonts w:hint="eastAsia" w:ascii="宋体" w:hAnsi="宋体" w:cs="宋体"/>
                <w:color w:val="000000"/>
                <w:kern w:val="0"/>
                <w:sz w:val="22"/>
              </w:rPr>
              <w:t>部门：平顶山市人力资源和社会保障局</w:t>
            </w:r>
          </w:p>
        </w:tc>
        <w:tc>
          <w:tcPr>
            <w:tcW w:w="1395" w:type="dxa"/>
            <w:tcBorders>
              <w:bottom w:val="single" w:color="auto" w:sz="4" w:space="0"/>
            </w:tcBorders>
            <w:shd w:val="clear" w:color="auto" w:fill="auto"/>
            <w:vAlign w:val="center"/>
          </w:tcPr>
          <w:p>
            <w:pPr>
              <w:widowControl/>
              <w:jc w:val="center"/>
              <w:textAlignment w:val="center"/>
              <w:rPr>
                <w:rFonts w:ascii="宋体" w:hAnsi="宋体" w:cs="宋体"/>
                <w:color w:val="000000"/>
                <w:sz w:val="22"/>
              </w:rPr>
            </w:pPr>
          </w:p>
        </w:tc>
        <w:tc>
          <w:tcPr>
            <w:tcW w:w="900"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1845"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1230"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1050"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2413" w:type="dxa"/>
            <w:gridSpan w:val="2"/>
            <w:tcBorders>
              <w:bottom w:val="single" w:color="auto"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1" w:hRule="atLeast"/>
          <w:jc w:val="center"/>
        </w:trPr>
        <w:tc>
          <w:tcPr>
            <w:tcW w:w="6545"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7438" w:type="dxa"/>
            <w:gridSpan w:val="6"/>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Layout w:type="fixed"/>
          <w:tblCellMar>
            <w:top w:w="15" w:type="dxa"/>
            <w:left w:w="15" w:type="dxa"/>
            <w:bottom w:w="15" w:type="dxa"/>
            <w:right w:w="15" w:type="dxa"/>
          </w:tblCellMar>
        </w:tblPrEx>
        <w:trPr>
          <w:trHeight w:val="301" w:hRule="atLeast"/>
          <w:jc w:val="center"/>
        </w:trPr>
        <w:tc>
          <w:tcPr>
            <w:tcW w:w="1385"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35"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30" w:type="dxa"/>
            <w:gridSpan w:val="3"/>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395"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900"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845"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330" w:type="dxa"/>
            <w:gridSpan w:val="3"/>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363"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Layout w:type="fixed"/>
          <w:tblCellMar>
            <w:top w:w="15" w:type="dxa"/>
            <w:left w:w="15" w:type="dxa"/>
            <w:bottom w:w="15" w:type="dxa"/>
            <w:right w:w="15" w:type="dxa"/>
          </w:tblCellMar>
        </w:tblPrEx>
        <w:trPr>
          <w:trHeight w:val="600" w:hRule="atLeast"/>
          <w:jc w:val="center"/>
        </w:trPr>
        <w:tc>
          <w:tcPr>
            <w:tcW w:w="13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5"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2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88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32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395"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00"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45"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3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5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5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363"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47" w:hRule="atLeast"/>
          <w:jc w:val="center"/>
        </w:trPr>
        <w:tc>
          <w:tcPr>
            <w:tcW w:w="138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73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2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88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2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9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90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4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3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5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6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Layout w:type="fixed"/>
          <w:tblCellMar>
            <w:top w:w="15" w:type="dxa"/>
            <w:left w:w="15" w:type="dxa"/>
            <w:bottom w:w="15" w:type="dxa"/>
            <w:right w:w="15" w:type="dxa"/>
          </w:tblCellMar>
        </w:tblPrEx>
        <w:trPr>
          <w:trHeight w:val="301" w:hRule="atLeast"/>
          <w:jc w:val="center"/>
        </w:trPr>
        <w:tc>
          <w:tcPr>
            <w:tcW w:w="1385" w:type="dxa"/>
            <w:tcBorders>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119.15</w:t>
            </w:r>
          </w:p>
        </w:tc>
        <w:tc>
          <w:tcPr>
            <w:tcW w:w="73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82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79.95</w:t>
            </w:r>
          </w:p>
        </w:tc>
        <w:tc>
          <w:tcPr>
            <w:tcW w:w="8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3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79.95</w:t>
            </w:r>
          </w:p>
        </w:tc>
        <w:tc>
          <w:tcPr>
            <w:tcW w:w="139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39.20</w:t>
            </w:r>
          </w:p>
        </w:tc>
        <w:tc>
          <w:tcPr>
            <w:tcW w:w="90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69.03</w:t>
            </w:r>
          </w:p>
        </w:tc>
        <w:tc>
          <w:tcPr>
            <w:tcW w:w="184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2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38.14</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38.14</w:t>
            </w:r>
          </w:p>
        </w:tc>
        <w:tc>
          <w:tcPr>
            <w:tcW w:w="136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30.89</w:t>
            </w:r>
          </w:p>
        </w:tc>
      </w:tr>
      <w:tr>
        <w:tblPrEx>
          <w:tblLayout w:type="fixed"/>
          <w:tblCellMar>
            <w:top w:w="15" w:type="dxa"/>
            <w:left w:w="15" w:type="dxa"/>
            <w:bottom w:w="15" w:type="dxa"/>
            <w:right w:w="15" w:type="dxa"/>
          </w:tblCellMar>
        </w:tblPrEx>
        <w:trPr>
          <w:trHeight w:val="600" w:hRule="atLeast"/>
          <w:jc w:val="center"/>
        </w:trPr>
        <w:tc>
          <w:tcPr>
            <w:tcW w:w="13983" w:type="dxa"/>
            <w:gridSpan w:val="12"/>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tbl>
      <w:tblPr>
        <w:tblStyle w:val="8"/>
        <w:tblW w:w="13985" w:type="dxa"/>
        <w:jc w:val="center"/>
        <w:tblInd w:w="687" w:type="dxa"/>
        <w:tblLayout w:type="fixed"/>
        <w:tblCellMar>
          <w:top w:w="15" w:type="dxa"/>
          <w:left w:w="15" w:type="dxa"/>
          <w:bottom w:w="15" w:type="dxa"/>
          <w:right w:w="15" w:type="dxa"/>
        </w:tblCellMar>
      </w:tblPr>
      <w:tblGrid>
        <w:gridCol w:w="2138"/>
        <w:gridCol w:w="525"/>
        <w:gridCol w:w="1591"/>
        <w:gridCol w:w="1966"/>
        <w:gridCol w:w="1394"/>
        <w:gridCol w:w="1203"/>
        <w:gridCol w:w="717"/>
        <w:gridCol w:w="1181"/>
        <w:gridCol w:w="950"/>
        <w:gridCol w:w="2320"/>
      </w:tblGrid>
      <w:tr>
        <w:tblPrEx>
          <w:tblLayout w:type="fixed"/>
          <w:tblCellMar>
            <w:top w:w="15" w:type="dxa"/>
            <w:left w:w="15" w:type="dxa"/>
            <w:bottom w:w="15" w:type="dxa"/>
            <w:right w:w="15" w:type="dxa"/>
          </w:tblCellMar>
        </w:tblPrEx>
        <w:trPr>
          <w:trHeight w:val="375" w:hRule="atLeast"/>
          <w:jc w:val="center"/>
        </w:trPr>
        <w:tc>
          <w:tcPr>
            <w:tcW w:w="13985" w:type="dxa"/>
            <w:gridSpan w:val="10"/>
            <w:shd w:val="clear" w:color="auto" w:fill="auto"/>
            <w:vAlign w:val="center"/>
          </w:tcPr>
          <w:p>
            <w:pPr>
              <w:widowControl/>
              <w:jc w:val="center"/>
              <w:textAlignment w:val="center"/>
              <w:rPr>
                <w:rFonts w:ascii="黑体" w:hAnsi="Arial" w:eastAsia="黑体" w:cs="黑体"/>
                <w:color w:val="000000"/>
                <w:sz w:val="30"/>
                <w:szCs w:val="30"/>
              </w:rPr>
            </w:pPr>
            <w:r>
              <w:rPr>
                <w:rFonts w:hint="eastAsia" w:ascii="黑体" w:hAnsi="Arial" w:eastAsia="黑体" w:cs="黑体"/>
                <w:color w:val="000000"/>
                <w:kern w:val="0"/>
                <w:sz w:val="30"/>
                <w:szCs w:val="30"/>
              </w:rPr>
              <w:t>政府性基金预算财政拨款收入支出决算表</w:t>
            </w:r>
          </w:p>
        </w:tc>
      </w:tr>
      <w:tr>
        <w:tblPrEx>
          <w:tblLayout w:type="fixed"/>
          <w:tblCellMar>
            <w:top w:w="15" w:type="dxa"/>
            <w:left w:w="15" w:type="dxa"/>
            <w:bottom w:w="15" w:type="dxa"/>
            <w:right w:w="15" w:type="dxa"/>
          </w:tblCellMar>
        </w:tblPrEx>
        <w:trPr>
          <w:trHeight w:val="301" w:hRule="atLeast"/>
          <w:jc w:val="center"/>
        </w:trPr>
        <w:tc>
          <w:tcPr>
            <w:tcW w:w="2138" w:type="dxa"/>
            <w:shd w:val="clear" w:color="auto" w:fill="auto"/>
            <w:vAlign w:val="center"/>
          </w:tcPr>
          <w:p>
            <w:pPr>
              <w:jc w:val="left"/>
              <w:rPr>
                <w:rFonts w:ascii="宋体" w:hAnsi="宋体" w:cs="宋体"/>
                <w:color w:val="000000"/>
                <w:sz w:val="18"/>
                <w:szCs w:val="18"/>
              </w:rPr>
            </w:pPr>
          </w:p>
        </w:tc>
        <w:tc>
          <w:tcPr>
            <w:tcW w:w="525" w:type="dxa"/>
            <w:shd w:val="clear" w:color="auto" w:fill="auto"/>
            <w:vAlign w:val="center"/>
          </w:tcPr>
          <w:p>
            <w:pPr>
              <w:jc w:val="left"/>
              <w:rPr>
                <w:rFonts w:ascii="宋体" w:hAnsi="宋体" w:cs="宋体"/>
                <w:color w:val="000000"/>
                <w:sz w:val="18"/>
                <w:szCs w:val="18"/>
              </w:rPr>
            </w:pPr>
          </w:p>
        </w:tc>
        <w:tc>
          <w:tcPr>
            <w:tcW w:w="1591" w:type="dxa"/>
            <w:shd w:val="clear" w:color="auto" w:fill="auto"/>
            <w:vAlign w:val="center"/>
          </w:tcPr>
          <w:p>
            <w:pPr>
              <w:jc w:val="left"/>
              <w:rPr>
                <w:rFonts w:ascii="宋体" w:hAnsi="宋体" w:cs="宋体"/>
                <w:color w:val="000000"/>
                <w:sz w:val="18"/>
                <w:szCs w:val="18"/>
              </w:rPr>
            </w:pPr>
          </w:p>
        </w:tc>
        <w:tc>
          <w:tcPr>
            <w:tcW w:w="1966" w:type="dxa"/>
            <w:shd w:val="clear" w:color="auto" w:fill="auto"/>
            <w:vAlign w:val="center"/>
          </w:tcPr>
          <w:p>
            <w:pPr>
              <w:jc w:val="left"/>
              <w:rPr>
                <w:rFonts w:ascii="宋体" w:hAnsi="宋体" w:cs="宋体"/>
                <w:color w:val="000000"/>
                <w:sz w:val="18"/>
                <w:szCs w:val="18"/>
              </w:rPr>
            </w:pPr>
          </w:p>
        </w:tc>
        <w:tc>
          <w:tcPr>
            <w:tcW w:w="1394" w:type="dxa"/>
            <w:shd w:val="clear" w:color="auto" w:fill="auto"/>
            <w:vAlign w:val="center"/>
          </w:tcPr>
          <w:p>
            <w:pPr>
              <w:jc w:val="left"/>
              <w:rPr>
                <w:rFonts w:ascii="宋体" w:hAnsi="宋体" w:cs="宋体"/>
                <w:color w:val="000000"/>
                <w:sz w:val="18"/>
                <w:szCs w:val="18"/>
              </w:rPr>
            </w:pPr>
          </w:p>
        </w:tc>
        <w:tc>
          <w:tcPr>
            <w:tcW w:w="1203" w:type="dxa"/>
            <w:shd w:val="clear" w:color="auto" w:fill="auto"/>
            <w:vAlign w:val="center"/>
          </w:tcPr>
          <w:p>
            <w:pPr>
              <w:jc w:val="left"/>
              <w:rPr>
                <w:rFonts w:ascii="宋体" w:hAnsi="宋体" w:cs="宋体"/>
                <w:color w:val="000000"/>
                <w:sz w:val="18"/>
                <w:szCs w:val="18"/>
              </w:rPr>
            </w:pPr>
          </w:p>
        </w:tc>
        <w:tc>
          <w:tcPr>
            <w:tcW w:w="717" w:type="dxa"/>
            <w:shd w:val="clear" w:color="auto" w:fill="auto"/>
            <w:vAlign w:val="center"/>
          </w:tcPr>
          <w:p>
            <w:pPr>
              <w:jc w:val="left"/>
              <w:rPr>
                <w:rFonts w:ascii="宋体" w:hAnsi="宋体" w:cs="宋体"/>
                <w:color w:val="000000"/>
                <w:sz w:val="18"/>
                <w:szCs w:val="18"/>
              </w:rPr>
            </w:pPr>
          </w:p>
        </w:tc>
        <w:tc>
          <w:tcPr>
            <w:tcW w:w="1181" w:type="dxa"/>
            <w:shd w:val="clear" w:color="auto" w:fill="auto"/>
            <w:vAlign w:val="center"/>
          </w:tcPr>
          <w:p>
            <w:pPr>
              <w:widowControl/>
              <w:jc w:val="right"/>
              <w:textAlignment w:val="center"/>
              <w:rPr>
                <w:rFonts w:ascii="宋体" w:hAnsi="宋体" w:cs="宋体"/>
                <w:color w:val="000000"/>
                <w:sz w:val="22"/>
              </w:rPr>
            </w:pPr>
          </w:p>
        </w:tc>
        <w:tc>
          <w:tcPr>
            <w:tcW w:w="950" w:type="dxa"/>
            <w:shd w:val="clear" w:color="auto" w:fill="auto"/>
            <w:vAlign w:val="center"/>
          </w:tcPr>
          <w:p>
            <w:pPr>
              <w:jc w:val="left"/>
              <w:rPr>
                <w:rFonts w:ascii="宋体" w:hAnsi="宋体" w:cs="宋体"/>
                <w:color w:val="000000"/>
                <w:sz w:val="18"/>
                <w:szCs w:val="18"/>
              </w:rPr>
            </w:pPr>
          </w:p>
        </w:tc>
        <w:tc>
          <w:tcPr>
            <w:tcW w:w="2320" w:type="dxa"/>
            <w:shd w:val="clear" w:color="auto" w:fill="auto"/>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公开08表</w:t>
            </w:r>
          </w:p>
        </w:tc>
      </w:tr>
      <w:tr>
        <w:tblPrEx>
          <w:tblLayout w:type="fixed"/>
          <w:tblCellMar>
            <w:top w:w="15" w:type="dxa"/>
            <w:left w:w="15" w:type="dxa"/>
            <w:bottom w:w="15" w:type="dxa"/>
            <w:right w:w="15" w:type="dxa"/>
          </w:tblCellMar>
        </w:tblPrEx>
        <w:trPr>
          <w:trHeight w:val="301" w:hRule="atLeast"/>
          <w:jc w:val="center"/>
        </w:trPr>
        <w:tc>
          <w:tcPr>
            <w:tcW w:w="6220" w:type="dxa"/>
            <w:gridSpan w:val="4"/>
            <w:tcBorders>
              <w:bottom w:val="single" w:color="auto" w:sz="4" w:space="0"/>
            </w:tcBorders>
            <w:shd w:val="clear" w:color="auto" w:fill="auto"/>
            <w:vAlign w:val="center"/>
          </w:tcPr>
          <w:p>
            <w:pPr>
              <w:jc w:val="left"/>
              <w:rPr>
                <w:rFonts w:ascii="宋体" w:hAnsi="宋体" w:cs="宋体"/>
                <w:color w:val="000000"/>
                <w:sz w:val="18"/>
                <w:szCs w:val="18"/>
              </w:rPr>
            </w:pPr>
            <w:r>
              <w:rPr>
                <w:rFonts w:hint="eastAsia" w:ascii="宋体" w:hAnsi="宋体" w:cs="宋体"/>
                <w:color w:val="000000"/>
                <w:kern w:val="0"/>
                <w:sz w:val="22"/>
              </w:rPr>
              <w:t>部门：平顶山市人力资源和社会保障局</w:t>
            </w:r>
          </w:p>
        </w:tc>
        <w:tc>
          <w:tcPr>
            <w:tcW w:w="1394" w:type="dxa"/>
            <w:tcBorders>
              <w:bottom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2018年度</w:t>
            </w:r>
          </w:p>
        </w:tc>
        <w:tc>
          <w:tcPr>
            <w:tcW w:w="1203"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717"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1181"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950" w:type="dxa"/>
            <w:tcBorders>
              <w:bottom w:val="single" w:color="auto" w:sz="4" w:space="0"/>
            </w:tcBorders>
            <w:shd w:val="clear" w:color="auto" w:fill="auto"/>
            <w:vAlign w:val="center"/>
          </w:tcPr>
          <w:p>
            <w:pPr>
              <w:jc w:val="left"/>
              <w:rPr>
                <w:rFonts w:ascii="宋体" w:hAnsi="宋体" w:cs="宋体"/>
                <w:color w:val="000000"/>
                <w:sz w:val="18"/>
                <w:szCs w:val="18"/>
              </w:rPr>
            </w:pPr>
          </w:p>
        </w:tc>
        <w:tc>
          <w:tcPr>
            <w:tcW w:w="2320" w:type="dxa"/>
            <w:tcBorders>
              <w:bottom w:val="single" w:color="auto"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1" w:hRule="atLeast"/>
          <w:jc w:val="center"/>
        </w:trPr>
        <w:tc>
          <w:tcPr>
            <w:tcW w:w="6220"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394"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203"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2848" w:type="dxa"/>
            <w:gridSpan w:val="3"/>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2320"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Layout w:type="fixed"/>
          <w:tblCellMar>
            <w:top w:w="15" w:type="dxa"/>
            <w:left w:w="15" w:type="dxa"/>
            <w:bottom w:w="15" w:type="dxa"/>
            <w:right w:w="15" w:type="dxa"/>
          </w:tblCellMar>
        </w:tblPrEx>
        <w:trPr>
          <w:trHeight w:val="300" w:hRule="atLeast"/>
          <w:jc w:val="center"/>
        </w:trPr>
        <w:tc>
          <w:tcPr>
            <w:tcW w:w="4254"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966"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94"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03"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17"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81"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950" w:type="dxa"/>
            <w:vMerge w:val="restart"/>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320"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jc w:val="center"/>
        </w:trPr>
        <w:tc>
          <w:tcPr>
            <w:tcW w:w="425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66"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4"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03"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17"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81"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0"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0"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jc w:val="center"/>
        </w:trPr>
        <w:tc>
          <w:tcPr>
            <w:tcW w:w="425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66"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4"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03"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17"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81"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50" w:type="dxa"/>
            <w:vMerge w:val="continue"/>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0" w:type="dxa"/>
            <w:tcBorders>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1" w:hRule="atLeast"/>
          <w:jc w:val="center"/>
        </w:trPr>
        <w:tc>
          <w:tcPr>
            <w:tcW w:w="6220"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394"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03"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717"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81"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95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32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01" w:hRule="atLeast"/>
          <w:jc w:val="center"/>
        </w:trPr>
        <w:tc>
          <w:tcPr>
            <w:tcW w:w="6220" w:type="dxa"/>
            <w:gridSpan w:val="4"/>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394"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c>
          <w:tcPr>
            <w:tcW w:w="1203"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c>
          <w:tcPr>
            <w:tcW w:w="717"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c>
          <w:tcPr>
            <w:tcW w:w="1181"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c>
          <w:tcPr>
            <w:tcW w:w="950"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c>
          <w:tcPr>
            <w:tcW w:w="2320" w:type="dxa"/>
            <w:tcBorders>
              <w:bottom w:val="single" w:color="000000" w:sz="4" w:space="0"/>
              <w:right w:val="single" w:color="000000" w:sz="4" w:space="0"/>
            </w:tcBorders>
            <w:shd w:val="clear" w:color="auto" w:fill="auto"/>
            <w:vAlign w:val="center"/>
          </w:tcPr>
          <w:p>
            <w:pPr>
              <w:jc w:val="righ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301" w:hRule="atLeast"/>
          <w:jc w:val="center"/>
        </w:trPr>
        <w:tc>
          <w:tcPr>
            <w:tcW w:w="425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966" w:type="dxa"/>
            <w:tcBorders>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394"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203"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17"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81"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950"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2320" w:type="dxa"/>
            <w:tcBorders>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1" w:hRule="atLeast"/>
          <w:jc w:val="center"/>
        </w:trPr>
        <w:tc>
          <w:tcPr>
            <w:tcW w:w="13985" w:type="dxa"/>
            <w:gridSpan w:val="10"/>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p>
    <w:p>
      <w:pPr>
        <w:spacing w:beforeLines="100"/>
        <w:jc w:val="center"/>
        <w:outlineLvl w:val="0"/>
        <w:rPr>
          <w:rFonts w:ascii="黑体" w:hAnsi="黑体" w:eastAsia="黑体" w:cs="黑体"/>
          <w:sz w:val="48"/>
          <w:szCs w:val="48"/>
        </w:rPr>
      </w:pPr>
      <w:r>
        <w:rPr>
          <w:rFonts w:hint="eastAsia" w:ascii="黑体" w:hAnsi="黑体" w:eastAsia="黑体" w:cs="黑体"/>
          <w:sz w:val="48"/>
          <w:szCs w:val="48"/>
        </w:rPr>
        <w:t>第三部分</w:t>
      </w:r>
    </w:p>
    <w:p>
      <w:pPr>
        <w:spacing w:beforeLines="100"/>
        <w:jc w:val="center"/>
        <w:rPr>
          <w:rFonts w:ascii="黑体" w:hAnsi="黑体" w:eastAsia="黑体" w:cs="黑体"/>
          <w:color w:val="000000" w:themeColor="text1"/>
          <w:sz w:val="32"/>
          <w:szCs w:val="32"/>
          <w:shd w:val="clear" w:color="auto" w:fill="FFFFFF"/>
        </w:rPr>
      </w:pPr>
      <w:r>
        <w:rPr>
          <w:rFonts w:hint="eastAsia" w:ascii="黑体" w:hAnsi="黑体" w:eastAsia="黑体" w:cs="黑体"/>
          <w:sz w:val="48"/>
          <w:szCs w:val="48"/>
        </w:rPr>
        <w:t>2018年度部门决算情况说明</w:t>
      </w: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一、收入支出决算总体情况说明</w:t>
      </w:r>
    </w:p>
    <w:p>
      <w:pPr>
        <w:pStyle w:val="14"/>
        <w:ind w:firstLine="640" w:firstLineChars="200"/>
        <w:rPr>
          <w:rFonts w:asci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2018年度收、支总计均为16204.65万元。与2017年相比，收、支总计各增加1199.78万元，增长8.00%。主要原因是</w:t>
      </w:r>
      <w:r>
        <w:rPr>
          <w:rFonts w:hint="eastAsia" w:ascii="仿宋_GB2312" w:eastAsia="仿宋_GB2312" w:cs="仿宋_GB2312"/>
          <w:sz w:val="32"/>
          <w:szCs w:val="32"/>
          <w:shd w:val="clear" w:color="auto" w:fill="FFFFFF"/>
        </w:rPr>
        <w:t>一是招才引智创新发展大会经费、评选人民满意公务员和先进工作者经费、OA办公系统软硬件经费、退伍军人表彰会经费、金保工程统一软件运维经费等专项资金批复至我局；二是农民工周转金批复至我局；三是2018年市财政局调整增加了基本工资、机关事业单位养老保险缴费等一般公共预算；四是支付了人才市场智能化招聘大厅装修、装饰工程款。</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二、收入决算情况说明</w:t>
      </w:r>
    </w:p>
    <w:p>
      <w:pPr>
        <w:pStyle w:val="7"/>
        <w:shd w:val="clear" w:color="auto" w:fill="FFFFFF"/>
        <w:spacing w:beforeAutospacing="0" w:afterAutospacing="0" w:line="600" w:lineRule="exact"/>
        <w:ind w:firstLine="640" w:firstLineChars="200"/>
        <w:jc w:val="both"/>
        <w:rPr>
          <w:sz w:val="32"/>
          <w:szCs w:val="32"/>
        </w:rPr>
      </w:pPr>
      <w:r>
        <w:rPr>
          <w:rFonts w:hint="eastAsia" w:ascii="仿宋_GB2312" w:hAnsi="仿宋_GB2312" w:eastAsia="仿宋_GB2312" w:cs="仿宋_GB2312"/>
          <w:sz w:val="32"/>
          <w:szCs w:val="32"/>
          <w:shd w:val="clear" w:color="auto" w:fill="FFFFFF"/>
        </w:rPr>
        <w:t>2018年度收入合计14289.71万元，其中：财政拨款收入12854.18万元，占89.95%；上级补助收入0.00万元，占0.00%；事业收入439.94万元，占3.08%；经营收入0.00万元，占0.00%；附属单位上缴收入0.00万元，占0.00%；其他收入995.59万元，占6.97%。</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三、支出决算情况说明</w:t>
      </w:r>
    </w:p>
    <w:p>
      <w:pPr>
        <w:pStyle w:val="7"/>
        <w:shd w:val="clear" w:color="auto" w:fill="FFFFFF"/>
        <w:spacing w:beforeAutospacing="0" w:afterAutospacing="0" w:line="600" w:lineRule="exact"/>
        <w:ind w:firstLine="640" w:firstLineChars="200"/>
        <w:jc w:val="both"/>
        <w:rPr>
          <w:sz w:val="32"/>
          <w:szCs w:val="32"/>
        </w:rPr>
      </w:pPr>
      <w:r>
        <w:rPr>
          <w:rFonts w:hint="eastAsia" w:ascii="仿宋_GB2312" w:hAnsi="仿宋_GB2312" w:eastAsia="仿宋_GB2312" w:cs="仿宋_GB2312"/>
          <w:sz w:val="32"/>
          <w:szCs w:val="32"/>
          <w:shd w:val="clear" w:color="auto" w:fill="FFFFFF"/>
        </w:rPr>
        <w:t>2018年度支出合计12984.09万元，其中：基本支出8699.22万元，占67.00%；项目支出4284.87万元，占33%；上缴上级支出0.00万元，占0.00%；经营支出0.00万元，占0.00%；对附属单位支出0.00万元，占0.00%。</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四、财政拨款收入支出决算总体情况说明</w:t>
      </w:r>
    </w:p>
    <w:p>
      <w:pPr>
        <w:pStyle w:val="14"/>
        <w:ind w:firstLine="640" w:firstLineChars="200"/>
        <w:rPr>
          <w:rFonts w:asci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2018年财政拨款收、支总计均为13510.33万元。与2017年相比，财政拨款收、支总计各增加1156.44万元，增长9.36%。主要原因是</w:t>
      </w:r>
      <w:r>
        <w:rPr>
          <w:rFonts w:hint="eastAsia" w:ascii="仿宋_GB2312" w:eastAsia="仿宋_GB2312" w:cs="仿宋_GB2312"/>
          <w:sz w:val="32"/>
          <w:szCs w:val="32"/>
          <w:shd w:val="clear" w:color="auto" w:fill="FFFFFF"/>
        </w:rPr>
        <w:t>一是招才引智创新发展大会经费、评选人民满意公务员和先进工作者经费、OA办公系统软硬件经费、退伍军人表彰会经费、金保工程统一软件运维经费等专项资金批复至我局；二是农民工周转金批复至我局；三是2018年市财政局调整增加了基本工资、机关事业单位养老保险缴费等一般公共预算。四是增加了人才市场智能化招聘大厅项目。</w:t>
      </w:r>
    </w:p>
    <w:p>
      <w:pPr>
        <w:pStyle w:val="7"/>
        <w:shd w:val="clear" w:color="auto" w:fill="FFFFFF"/>
        <w:spacing w:beforeAutospacing="0" w:afterAutospacing="0" w:line="600" w:lineRule="exact"/>
        <w:ind w:firstLine="640" w:firstLineChars="200"/>
        <w:jc w:val="both"/>
        <w:rPr>
          <w:shd w:val="clear" w:color="auto" w:fill="FFFFFF"/>
        </w:rPr>
      </w:pPr>
      <w:r>
        <w:rPr>
          <w:rFonts w:hint="eastAsia" w:ascii="黑体" w:hAnsi="宋体" w:eastAsia="黑体" w:cs="黑体"/>
          <w:sz w:val="32"/>
          <w:szCs w:val="32"/>
          <w:shd w:val="clear" w:color="auto" w:fill="FFFFFF"/>
        </w:rPr>
        <w:t>五、一般公共预算财政拨款支出决算情况说明</w:t>
      </w:r>
    </w:p>
    <w:p>
      <w:pPr>
        <w:pStyle w:val="7"/>
        <w:shd w:val="clear" w:color="auto" w:fill="FFFFFF"/>
        <w:spacing w:beforeAutospacing="0" w:afterAutospacing="0"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（一）总体情况。</w:t>
      </w:r>
    </w:p>
    <w:p>
      <w:pPr>
        <w:pStyle w:val="7"/>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2018年一般公共预算财政拨款支出11338.62万元，占支出合计的87.33%。与2017年相比，一般公共预算财政拨款支出增加730.30万元，增长6.88%。变动的主要原因一</w:t>
      </w:r>
      <w:r>
        <w:rPr>
          <w:rFonts w:hint="eastAsia" w:ascii="仿宋_GB2312" w:hAnsi="仿宋_GB2312" w:eastAsia="仿宋_GB2312" w:cs="仿宋_GB2312"/>
          <w:color w:val="000000" w:themeColor="text1"/>
          <w:sz w:val="32"/>
          <w:szCs w:val="32"/>
          <w:shd w:val="clear" w:color="auto" w:fill="FFFFFF"/>
          <w:lang w:eastAsia="zh-CN"/>
        </w:rPr>
        <w:t>是</w:t>
      </w:r>
      <w:r>
        <w:rPr>
          <w:rFonts w:hint="eastAsia" w:ascii="仿宋_GB2312" w:eastAsia="仿宋_GB2312" w:cs="仿宋_GB2312"/>
          <w:sz w:val="32"/>
          <w:szCs w:val="32"/>
          <w:shd w:val="clear" w:color="auto" w:fill="FFFFFF"/>
        </w:rPr>
        <w:t>招才引智创新发展大会经费OA办公系统软硬件经费、退伍军人表彰会经费、金保工程统一软件运维经费等专项资金</w:t>
      </w:r>
      <w:r>
        <w:rPr>
          <w:rFonts w:hint="eastAsia" w:ascii="仿宋_GB2312" w:eastAsia="仿宋_GB2312" w:cs="仿宋_GB2312"/>
          <w:sz w:val="32"/>
          <w:szCs w:val="32"/>
          <w:shd w:val="clear" w:color="auto" w:fill="FFFFFF"/>
          <w:lang w:eastAsia="zh-CN"/>
        </w:rPr>
        <w:t>批复至我局</w:t>
      </w:r>
      <w:r>
        <w:rPr>
          <w:rFonts w:hint="eastAsia"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lang w:eastAsia="zh-CN"/>
        </w:rPr>
        <w:t>二</w:t>
      </w:r>
      <w:r>
        <w:rPr>
          <w:rFonts w:hint="eastAsia" w:ascii="仿宋_GB2312" w:eastAsia="仿宋_GB2312" w:cs="仿宋_GB2312"/>
          <w:color w:val="000000" w:themeColor="text1"/>
          <w:sz w:val="32"/>
          <w:szCs w:val="32"/>
          <w:shd w:val="clear" w:color="auto" w:fill="FFFFFF"/>
        </w:rPr>
        <w:t>是2018年市财政局调整增加了基本工资、机关事业单位养老保险缴费等一般公共预算</w:t>
      </w:r>
      <w:r>
        <w:rPr>
          <w:rFonts w:hint="eastAsia" w:ascii="仿宋_GB2312" w:eastAsia="仿宋_GB2312" w:cs="仿宋_GB2312"/>
          <w:color w:val="000000" w:themeColor="text1"/>
          <w:sz w:val="32"/>
          <w:szCs w:val="32"/>
          <w:shd w:val="clear" w:color="auto" w:fill="FFFFFF"/>
          <w:lang w:eastAsia="zh-CN"/>
        </w:rPr>
        <w:t>；三</w:t>
      </w:r>
      <w:r>
        <w:rPr>
          <w:rFonts w:hint="eastAsia" w:ascii="仿宋_GB2312" w:eastAsia="仿宋_GB2312" w:cs="仿宋_GB2312"/>
          <w:sz w:val="32"/>
          <w:szCs w:val="32"/>
          <w:shd w:val="clear" w:color="auto" w:fill="FFFFFF"/>
        </w:rPr>
        <w:t>是增加了人才市场智能化招聘大厅项目</w:t>
      </w:r>
      <w:r>
        <w:rPr>
          <w:rFonts w:hint="eastAsia" w:ascii="仿宋_GB2312" w:hAnsi="仿宋_GB2312" w:eastAsia="仿宋_GB2312" w:cs="仿宋_GB2312"/>
          <w:color w:val="000000" w:themeColor="text1"/>
          <w:sz w:val="32"/>
          <w:szCs w:val="32"/>
          <w:shd w:val="clear" w:color="auto" w:fill="FFFFFF"/>
        </w:rPr>
        <w:t>。</w:t>
      </w:r>
    </w:p>
    <w:p>
      <w:pPr>
        <w:pStyle w:val="7"/>
        <w:shd w:val="clear" w:color="auto" w:fill="FFFFFF"/>
        <w:spacing w:beforeAutospacing="0" w:afterAutospacing="0"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（二）结构情况。</w:t>
      </w:r>
    </w:p>
    <w:p>
      <w:pPr>
        <w:pStyle w:val="7"/>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一般公共预算财政拨款支出11338.62万元，主要用于以下方面：一般公共服务（类）支出1435.19万元，占12.66%；教育（类）支出237.22万元，占2.09%；社会保障和就业（类）支出8925.65万元，占78.72%；医疗卫生和计划生育（类）支出437.76万元，占3.86%；住房保障（类）支出302.79万元，占2.67%。</w:t>
      </w:r>
    </w:p>
    <w:p>
      <w:pPr>
        <w:pStyle w:val="7"/>
        <w:shd w:val="clear" w:color="auto" w:fill="FFFFFF"/>
        <w:spacing w:beforeAutospacing="0" w:afterAutospacing="0"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（三）具体情况。</w:t>
      </w:r>
    </w:p>
    <w:p>
      <w:pPr>
        <w:pStyle w:val="7"/>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2018年度一般公共预算财政拨款支出年初预算为12854.18万元，支出决算为11338.62万元，完成年初预算的88.21%。其中：</w:t>
      </w:r>
    </w:p>
    <w:p>
      <w:pPr>
        <w:pStyle w:val="7"/>
        <w:widowControl/>
        <w:spacing w:beforeAutospacing="0" w:afterAutospacing="0" w:line="600" w:lineRule="exact"/>
        <w:ind w:firstLine="643" w:firstLineChars="200"/>
        <w:jc w:val="both"/>
        <w:rPr>
          <w:shd w:val="clear" w:color="auto" w:fill="FFFFFF"/>
        </w:rPr>
      </w:pPr>
      <w:r>
        <w:rPr>
          <w:rFonts w:ascii="仿宋_GB2312" w:eastAsia="仿宋_GB2312" w:cs="仿宋_GB2312"/>
          <w:b/>
          <w:bCs/>
          <w:sz w:val="32"/>
          <w:szCs w:val="32"/>
          <w:shd w:val="clear" w:color="auto" w:fill="FFFFFF"/>
        </w:rPr>
        <w:t>1</w:t>
      </w:r>
      <w:r>
        <w:rPr>
          <w:rFonts w:hint="eastAsia" w:ascii="仿宋_GB2312" w:eastAsia="仿宋_GB2312" w:cs="仿宋_GB2312"/>
          <w:b/>
          <w:bCs/>
          <w:sz w:val="32"/>
          <w:szCs w:val="32"/>
          <w:shd w:val="clear" w:color="auto" w:fill="FFFFFF"/>
        </w:rPr>
        <w:t>．一般公共服务（类）人力资源事务（款）行政运行（项）。</w:t>
      </w:r>
      <w:r>
        <w:rPr>
          <w:rFonts w:hint="eastAsia" w:ascii="仿宋_GB2312" w:eastAsia="仿宋_GB2312" w:cs="仿宋_GB2312"/>
          <w:sz w:val="32"/>
          <w:szCs w:val="32"/>
          <w:shd w:val="clear" w:color="auto" w:fill="FFFFFF"/>
        </w:rPr>
        <w:t>年初预算为1080.48万元，支出决算为1084.20万元，完成年初预算的</w:t>
      </w:r>
      <w:r>
        <w:rPr>
          <w:rFonts w:ascii="仿宋_GB2312" w:eastAsia="仿宋_GB2312" w:cs="仿宋_GB2312"/>
          <w:sz w:val="32"/>
          <w:szCs w:val="32"/>
          <w:shd w:val="clear" w:color="auto" w:fill="FFFFFF"/>
        </w:rPr>
        <w:t>100%</w:t>
      </w:r>
      <w:r>
        <w:rPr>
          <w:rFonts w:hint="eastAsia" w:ascii="仿宋_GB2312" w:eastAsia="仿宋_GB2312" w:cs="仿宋_GB2312"/>
          <w:sz w:val="32"/>
          <w:szCs w:val="32"/>
          <w:shd w:val="clear" w:color="auto" w:fill="FFFFFF"/>
        </w:rPr>
        <w:t>。</w:t>
      </w:r>
    </w:p>
    <w:p>
      <w:pPr>
        <w:pStyle w:val="7"/>
        <w:widowControl/>
        <w:spacing w:beforeAutospacing="0" w:afterAutospacing="0" w:line="600" w:lineRule="exact"/>
        <w:ind w:firstLine="602" w:firstLineChars="200"/>
        <w:jc w:val="both"/>
        <w:rPr>
          <w:rFonts w:ascii="仿宋_GB2312" w:eastAsia="仿宋_GB2312"/>
          <w:sz w:val="32"/>
          <w:szCs w:val="32"/>
          <w:shd w:val="clear" w:color="auto" w:fill="FFFFFF"/>
        </w:rPr>
      </w:pPr>
      <w:r>
        <w:rPr>
          <w:rFonts w:ascii="仿宋_GB2312" w:eastAsia="仿宋_GB2312" w:cs="仿宋_GB2312"/>
          <w:b/>
          <w:bCs/>
          <w:sz w:val="30"/>
          <w:szCs w:val="30"/>
          <w:shd w:val="clear" w:color="auto" w:fill="FFFFFF"/>
        </w:rPr>
        <w:t>2</w:t>
      </w:r>
      <w:r>
        <w:rPr>
          <w:rFonts w:hint="eastAsia" w:ascii="仿宋_GB2312" w:eastAsia="仿宋_GB2312" w:cs="仿宋_GB2312"/>
          <w:b/>
          <w:bCs/>
          <w:sz w:val="30"/>
          <w:szCs w:val="30"/>
          <w:shd w:val="clear" w:color="auto" w:fill="FFFFFF"/>
        </w:rPr>
        <w:t>．</w:t>
      </w:r>
      <w:r>
        <w:rPr>
          <w:rFonts w:hint="eastAsia" w:ascii="仿宋_GB2312" w:eastAsia="仿宋_GB2312" w:cs="仿宋_GB2312"/>
          <w:b/>
          <w:bCs/>
          <w:sz w:val="32"/>
          <w:szCs w:val="32"/>
          <w:shd w:val="clear" w:color="auto" w:fill="FFFFFF"/>
        </w:rPr>
        <w:t>一般公共服务（类）人力资源事务（款）军队转业干部安置（项）。</w:t>
      </w:r>
      <w:r>
        <w:rPr>
          <w:rFonts w:hint="eastAsia" w:ascii="仿宋_GB2312" w:eastAsia="仿宋_GB2312" w:cs="仿宋_GB2312"/>
          <w:sz w:val="32"/>
          <w:szCs w:val="32"/>
          <w:shd w:val="clear" w:color="auto" w:fill="FFFFFF"/>
        </w:rPr>
        <w:t>年初预算为24.65万元，支出决算为69万元，完成年初预算100</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w:t>
      </w:r>
    </w:p>
    <w:p>
      <w:pPr>
        <w:pStyle w:val="7"/>
        <w:widowControl/>
        <w:spacing w:beforeAutospacing="0" w:afterAutospacing="0" w:line="600" w:lineRule="exact"/>
        <w:ind w:firstLine="643" w:firstLineChars="200"/>
        <w:jc w:val="both"/>
        <w:rPr>
          <w:rFonts w:ascii="仿宋_GB2312" w:eastAsia="仿宋_GB2312"/>
          <w:sz w:val="32"/>
          <w:szCs w:val="32"/>
          <w:shd w:val="clear" w:color="auto" w:fill="FFFFFF"/>
        </w:rPr>
      </w:pPr>
      <w:r>
        <w:rPr>
          <w:rFonts w:ascii="仿宋_GB2312" w:eastAsia="仿宋_GB2312" w:cs="仿宋_GB2312"/>
          <w:b/>
          <w:bCs/>
          <w:sz w:val="32"/>
          <w:szCs w:val="32"/>
          <w:shd w:val="clear" w:color="auto" w:fill="FFFFFF"/>
        </w:rPr>
        <w:t>3.</w:t>
      </w:r>
      <w:r>
        <w:rPr>
          <w:rFonts w:hint="eastAsia" w:ascii="仿宋_GB2312" w:eastAsia="仿宋_GB2312" w:cs="仿宋_GB2312"/>
          <w:b/>
          <w:bCs/>
          <w:sz w:val="32"/>
          <w:szCs w:val="32"/>
          <w:shd w:val="clear" w:color="auto" w:fill="FFFFFF"/>
        </w:rPr>
        <w:t>一般公共服务（类）人力资源事务（款）公务员招考（项）。</w:t>
      </w:r>
      <w:r>
        <w:rPr>
          <w:rFonts w:hint="eastAsia" w:ascii="仿宋_GB2312" w:eastAsia="仿宋_GB2312" w:cs="仿宋_GB2312"/>
          <w:sz w:val="32"/>
          <w:szCs w:val="32"/>
          <w:shd w:val="clear" w:color="auto" w:fill="FFFFFF"/>
        </w:rPr>
        <w:t>年初预算为103.42万元，支出决算为88.12万元，完成年初预算85.21</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。决算数小于预算数的主要原因是该项工作未完成，结转下年支出。</w:t>
      </w:r>
    </w:p>
    <w:p>
      <w:pPr>
        <w:pStyle w:val="14"/>
        <w:shd w:val="clear" w:color="auto" w:fill="FFFFFF"/>
        <w:autoSpaceDN w:val="0"/>
        <w:spacing w:before="100" w:after="100" w:line="600" w:lineRule="atLeast"/>
        <w:ind w:firstLine="600"/>
        <w:jc w:val="both"/>
        <w:rPr>
          <w:rFonts w:ascii="仿宋_GB2312" w:hAnsi="Calibri" w:eastAsia="仿宋_GB2312" w:cs="仿宋_GB2312"/>
          <w:sz w:val="32"/>
          <w:szCs w:val="32"/>
          <w:shd w:val="clear" w:color="auto" w:fill="FFFFFF"/>
        </w:rPr>
      </w:pPr>
      <w:r>
        <w:rPr>
          <w:rFonts w:ascii="仿宋_GB2312" w:hAnsi="Calibri" w:eastAsia="仿宋_GB2312" w:cs="仿宋_GB2312"/>
          <w:b/>
          <w:bCs/>
          <w:sz w:val="32"/>
          <w:szCs w:val="32"/>
          <w:shd w:val="clear" w:color="auto" w:fill="FFFFFF"/>
        </w:rPr>
        <w:t xml:space="preserve">4. </w:t>
      </w:r>
      <w:r>
        <w:rPr>
          <w:rFonts w:hint="eastAsia" w:ascii="仿宋_GB2312" w:hAnsi="Calibri" w:eastAsia="仿宋_GB2312" w:cs="仿宋_GB2312"/>
          <w:b/>
          <w:bCs/>
          <w:sz w:val="32"/>
          <w:szCs w:val="32"/>
          <w:shd w:val="clear" w:color="auto" w:fill="FFFFFF"/>
        </w:rPr>
        <w:t>一般公共服务（类）人力资源事务（款）其他人力资源事务支出（项）。</w:t>
      </w:r>
      <w:r>
        <w:rPr>
          <w:rFonts w:hint="eastAsia" w:ascii="仿宋_GB2312" w:hAnsi="Calibri" w:eastAsia="仿宋_GB2312" w:cs="仿宋_GB2312"/>
          <w:sz w:val="32"/>
          <w:szCs w:val="32"/>
          <w:shd w:val="clear" w:color="auto" w:fill="FFFFFF"/>
        </w:rPr>
        <w:t>年初预算为79.22万元，支出决算为85.73万元，完成年初预算108.22</w:t>
      </w:r>
      <w:r>
        <w:rPr>
          <w:rFonts w:ascii="仿宋_GB2312" w:hAnsi="Calibri" w:eastAsia="仿宋_GB2312" w:cs="仿宋_GB2312"/>
          <w:sz w:val="32"/>
          <w:szCs w:val="32"/>
          <w:shd w:val="clear" w:color="auto" w:fill="FFFFFF"/>
        </w:rPr>
        <w:t>%</w:t>
      </w:r>
      <w:r>
        <w:rPr>
          <w:rFonts w:hint="eastAsia" w:ascii="仿宋_GB2312" w:hAnsi="Calibri" w:eastAsia="仿宋_GB2312" w:cs="仿宋_GB2312"/>
          <w:sz w:val="32"/>
          <w:szCs w:val="32"/>
          <w:shd w:val="clear" w:color="auto" w:fill="FFFFFF"/>
        </w:rPr>
        <w:t>。决算数大于预算数的主要原因是上年有结转在本年支出。</w:t>
      </w:r>
    </w:p>
    <w:p>
      <w:pPr>
        <w:pStyle w:val="14"/>
        <w:shd w:val="clear" w:color="auto" w:fill="FFFFFF"/>
        <w:autoSpaceDN w:val="0"/>
        <w:spacing w:before="100" w:after="100" w:line="600" w:lineRule="atLeast"/>
        <w:ind w:firstLine="600"/>
        <w:jc w:val="both"/>
        <w:rPr>
          <w:rFonts w:hint="eastAsia" w:ascii="仿宋_GB2312" w:eastAsia="仿宋_GB2312" w:cs="仿宋_GB2312"/>
          <w:color w:val="000000" w:themeColor="text1"/>
          <w:sz w:val="32"/>
          <w:szCs w:val="32"/>
          <w:shd w:val="clear" w:color="auto" w:fill="FFFFFF"/>
        </w:rPr>
      </w:pPr>
      <w:r>
        <w:rPr>
          <w:rFonts w:hint="eastAsia" w:ascii="仿宋_GB2312" w:eastAsia="仿宋_GB2312" w:cs="仿宋_GB2312"/>
          <w:b/>
          <w:bCs/>
          <w:color w:val="000000" w:themeColor="text1"/>
          <w:sz w:val="32"/>
          <w:szCs w:val="32"/>
          <w:shd w:val="clear" w:color="auto" w:fill="FFFFFF"/>
        </w:rPr>
        <w:t>5</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一般公共服务（类）其他一般公共服务支出（款）其他一般公共服务支出（项）。</w:t>
      </w:r>
      <w:r>
        <w:rPr>
          <w:rFonts w:hint="eastAsia" w:ascii="仿宋_GB2312" w:eastAsia="仿宋_GB2312" w:cs="仿宋_GB2312"/>
          <w:color w:val="000000" w:themeColor="text1"/>
          <w:sz w:val="32"/>
          <w:szCs w:val="32"/>
          <w:shd w:val="clear" w:color="auto" w:fill="FFFFFF"/>
        </w:rPr>
        <w:t>年初预算为178.5万元，支出决算为108.14万元，完成年初预算的60.58</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w:t>
      </w:r>
      <w:r>
        <w:rPr>
          <w:rFonts w:hint="eastAsia" w:ascii="仿宋_GB2312" w:eastAsia="仿宋_GB2312" w:cs="仿宋_GB2312"/>
          <w:color w:val="000000" w:themeColor="text1"/>
          <w:sz w:val="32"/>
          <w:szCs w:val="32"/>
          <w:shd w:val="clear" w:color="auto" w:fill="FFFFFF"/>
          <w:lang w:eastAsia="zh-CN"/>
        </w:rPr>
        <w:t>关于下达评选人民满意的公务员和先进工作者经费</w:t>
      </w:r>
      <w:r>
        <w:rPr>
          <w:rFonts w:hint="eastAsia" w:ascii="仿宋_GB2312" w:eastAsia="仿宋_GB2312" w:cs="仿宋_GB2312"/>
          <w:color w:val="000000" w:themeColor="text1"/>
          <w:sz w:val="32"/>
          <w:szCs w:val="32"/>
          <w:shd w:val="clear" w:color="auto" w:fill="FFFFFF"/>
        </w:rPr>
        <w:t>结转至下年支出。</w:t>
      </w:r>
    </w:p>
    <w:p>
      <w:pPr>
        <w:pStyle w:val="14"/>
        <w:shd w:val="clear" w:color="auto" w:fill="FFFFFF"/>
        <w:autoSpaceDN w:val="0"/>
        <w:spacing w:before="100" w:after="100" w:line="600" w:lineRule="atLeast"/>
        <w:ind w:firstLine="600"/>
        <w:jc w:val="both"/>
        <w:rPr>
          <w:rFonts w:hint="eastAsia" w:ascii="仿宋_GB2312" w:eastAsia="仿宋_GB2312" w:cs="仿宋_GB2312"/>
          <w:color w:val="000000" w:themeColor="text1"/>
          <w:sz w:val="32"/>
          <w:szCs w:val="32"/>
          <w:shd w:val="clear" w:color="auto" w:fill="FFFFFF"/>
        </w:rPr>
      </w:pPr>
      <w:r>
        <w:rPr>
          <w:rFonts w:hint="eastAsia" w:ascii="仿宋_GB2312" w:eastAsia="仿宋_GB2312" w:cs="仿宋_GB2312"/>
          <w:b/>
          <w:bCs/>
          <w:color w:val="000000" w:themeColor="text1"/>
          <w:sz w:val="32"/>
          <w:szCs w:val="32"/>
          <w:shd w:val="clear" w:color="auto" w:fill="FFFFFF"/>
        </w:rPr>
        <w:t>6</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教育支出（类）职业教育（款）中专教育（项）。</w:t>
      </w:r>
      <w:r>
        <w:rPr>
          <w:rFonts w:hint="eastAsia" w:ascii="仿宋_GB2312" w:eastAsia="仿宋_GB2312" w:cs="仿宋_GB2312"/>
          <w:color w:val="000000" w:themeColor="text1"/>
          <w:sz w:val="32"/>
          <w:szCs w:val="32"/>
          <w:shd w:val="clear" w:color="auto" w:fill="FFFFFF"/>
        </w:rPr>
        <w:t>年初预算为119.93万元，支出决算为30.1万元，完成年初预算的25.1</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w:t>
      </w:r>
      <w:r>
        <w:rPr>
          <w:rFonts w:hint="eastAsia" w:ascii="仿宋_GB2312" w:eastAsia="仿宋_GB2312" w:cs="仿宋_GB2312"/>
          <w:color w:val="000000" w:themeColor="text1"/>
          <w:sz w:val="32"/>
          <w:szCs w:val="32"/>
          <w:shd w:val="clear" w:color="auto" w:fill="FFFFFF"/>
          <w:lang w:eastAsia="zh-CN"/>
        </w:rPr>
        <w:t>助学金</w:t>
      </w:r>
      <w:r>
        <w:rPr>
          <w:rFonts w:hint="eastAsia" w:ascii="仿宋_GB2312" w:eastAsia="仿宋_GB2312" w:cs="仿宋_GB2312"/>
          <w:color w:val="000000" w:themeColor="text1"/>
          <w:sz w:val="32"/>
          <w:szCs w:val="32"/>
          <w:shd w:val="clear" w:color="auto" w:fill="FFFFFF"/>
        </w:rPr>
        <w:t>年底到账，结转至下年支出。</w:t>
      </w:r>
    </w:p>
    <w:p>
      <w:pPr>
        <w:pStyle w:val="14"/>
        <w:shd w:val="clear" w:color="auto" w:fill="FFFFFF"/>
        <w:autoSpaceDN w:val="0"/>
        <w:spacing w:before="100" w:after="100" w:line="600" w:lineRule="atLeast"/>
        <w:ind w:firstLine="600"/>
        <w:jc w:val="both"/>
        <w:rPr>
          <w:rFonts w:ascii="仿宋_GB2312" w:eastAsia="仿宋_GB2312" w:cs="仿宋_GB2312"/>
          <w:sz w:val="32"/>
          <w:szCs w:val="32"/>
          <w:shd w:val="clear" w:color="auto" w:fill="FFFFFF"/>
        </w:rPr>
      </w:pPr>
      <w:r>
        <w:rPr>
          <w:rFonts w:hint="eastAsia" w:ascii="仿宋_GB2312" w:eastAsia="仿宋_GB2312" w:cs="仿宋_GB2312"/>
          <w:b/>
          <w:bCs/>
          <w:color w:val="000000" w:themeColor="text1"/>
          <w:sz w:val="32"/>
          <w:szCs w:val="32"/>
          <w:shd w:val="clear" w:color="auto" w:fill="FFFFFF"/>
        </w:rPr>
        <w:t>7</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教育支出（类）职业教育（款）技校教育（项）。</w:t>
      </w:r>
      <w:r>
        <w:rPr>
          <w:rFonts w:hint="eastAsia" w:ascii="仿宋_GB2312" w:eastAsia="仿宋_GB2312" w:cs="仿宋_GB2312"/>
          <w:color w:val="000000" w:themeColor="text1"/>
          <w:sz w:val="32"/>
          <w:szCs w:val="32"/>
          <w:shd w:val="clear" w:color="auto" w:fill="FFFFFF"/>
        </w:rPr>
        <w:t>年初预算为220.77万元，支出决算为125.3万元，完成年初预算的56.76</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w:t>
      </w:r>
      <w:r>
        <w:rPr>
          <w:rFonts w:hint="eastAsia" w:ascii="仿宋_GB2312" w:eastAsia="仿宋_GB2312" w:cs="仿宋_GB2312"/>
          <w:color w:val="000000" w:themeColor="text1"/>
          <w:sz w:val="32"/>
          <w:szCs w:val="32"/>
          <w:shd w:val="clear" w:color="auto" w:fill="FFFFFF"/>
          <w:lang w:eastAsia="zh-CN"/>
        </w:rPr>
        <w:t>助学金</w:t>
      </w:r>
      <w:r>
        <w:rPr>
          <w:rFonts w:hint="eastAsia" w:ascii="仿宋_GB2312" w:eastAsia="仿宋_GB2312" w:cs="仿宋_GB2312"/>
          <w:color w:val="000000" w:themeColor="text1"/>
          <w:sz w:val="32"/>
          <w:szCs w:val="32"/>
          <w:shd w:val="clear" w:color="auto" w:fill="FFFFFF"/>
        </w:rPr>
        <w:t>年底到账，结转至下年支出。</w:t>
      </w:r>
    </w:p>
    <w:p>
      <w:pPr>
        <w:pStyle w:val="14"/>
        <w:shd w:val="clear" w:color="auto" w:fill="FFFFFF"/>
        <w:autoSpaceDN w:val="0"/>
        <w:spacing w:before="100" w:after="100" w:line="600" w:lineRule="atLeast"/>
        <w:ind w:firstLine="600"/>
        <w:jc w:val="both"/>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8.教育支出（类）进修及培训（款）干部教育（项）。</w:t>
      </w:r>
      <w:r>
        <w:rPr>
          <w:rFonts w:hint="eastAsia" w:ascii="仿宋_GB2312" w:eastAsia="仿宋_GB2312" w:cs="仿宋_GB2312"/>
          <w:sz w:val="32"/>
          <w:szCs w:val="32"/>
          <w:shd w:val="clear" w:color="auto" w:fill="FFFFFF"/>
        </w:rPr>
        <w:t>年初预算为81.82万元，支出决算为81.82万元，完成年初预算的100%</w:t>
      </w:r>
    </w:p>
    <w:p>
      <w:pPr>
        <w:pStyle w:val="7"/>
        <w:widowControl/>
        <w:spacing w:beforeAutospacing="0" w:afterAutospacing="0" w:line="600" w:lineRule="exact"/>
        <w:ind w:firstLine="643" w:firstLineChars="200"/>
        <w:jc w:val="both"/>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9</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社会保障和就业支出（类）人力资源和社会保障管理事务（款）行政运行（项）。</w:t>
      </w:r>
      <w:r>
        <w:rPr>
          <w:rFonts w:hint="eastAsia" w:ascii="仿宋_GB2312" w:eastAsia="仿宋_GB2312" w:cs="仿宋_GB2312"/>
          <w:sz w:val="32"/>
          <w:szCs w:val="32"/>
          <w:shd w:val="clear" w:color="auto" w:fill="FFFFFF"/>
        </w:rPr>
        <w:t>年初预算为873.75万元，支出决算为865.07万元，完成年初预算的99</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w:t>
      </w:r>
      <w:r>
        <w:rPr>
          <w:rFonts w:hint="eastAsia" w:ascii="仿宋_GB2312" w:eastAsia="仿宋_GB2312" w:cs="仿宋_GB2312"/>
          <w:sz w:val="32"/>
          <w:szCs w:val="32"/>
          <w:shd w:val="clear" w:color="auto" w:fill="FFFFFF"/>
          <w:lang w:eastAsia="zh-CN"/>
        </w:rPr>
        <w:t>本年收入结转下年支出</w:t>
      </w:r>
      <w:r>
        <w:rPr>
          <w:rFonts w:hint="eastAsia" w:ascii="仿宋_GB2312" w:eastAsia="仿宋_GB2312" w:cs="仿宋_GB2312"/>
          <w:sz w:val="32"/>
          <w:szCs w:val="32"/>
          <w:shd w:val="clear" w:color="auto" w:fill="FFFFFF"/>
        </w:rPr>
        <w:t>。</w:t>
      </w:r>
    </w:p>
    <w:p>
      <w:pPr>
        <w:pStyle w:val="14"/>
        <w:keepNext w:val="0"/>
        <w:keepLines w:val="0"/>
        <w:pageBreakBefore w:val="0"/>
        <w:widowControl/>
        <w:shd w:val="clear" w:color="auto" w:fill="FFFFFF"/>
        <w:kinsoku/>
        <w:wordWrap/>
        <w:overflowPunct/>
        <w:topLinePunct w:val="0"/>
        <w:autoSpaceDE/>
        <w:autoSpaceDN w:val="0"/>
        <w:bidi w:val="0"/>
        <w:adjustRightInd/>
        <w:snapToGrid/>
        <w:spacing w:line="600" w:lineRule="atLeast"/>
        <w:ind w:firstLine="643" w:firstLineChars="200"/>
        <w:jc w:val="both"/>
        <w:textAlignment w:val="auto"/>
        <w:rPr>
          <w:rFonts w:ascii="仿宋_GB2312" w:eastAsia="仿宋_GB2312" w:cs="仿宋_GB2312"/>
          <w:color w:val="7030A0"/>
          <w:sz w:val="32"/>
          <w:szCs w:val="32"/>
          <w:shd w:val="clear" w:color="auto" w:fill="FFFFFF"/>
        </w:rPr>
      </w:pPr>
      <w:r>
        <w:rPr>
          <w:rFonts w:hint="eastAsia" w:ascii="仿宋_GB2312" w:eastAsia="仿宋_GB2312" w:cs="仿宋_GB2312"/>
          <w:b/>
          <w:bCs/>
          <w:color w:val="000000" w:themeColor="text1"/>
          <w:sz w:val="32"/>
          <w:szCs w:val="32"/>
          <w:shd w:val="clear" w:color="auto" w:fill="FFFFFF"/>
        </w:rPr>
        <w:t>10</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社会保障和就业支出（类）人力资源和社会保障管理事务（款）一般行政管理事务（项）。</w:t>
      </w:r>
      <w:r>
        <w:rPr>
          <w:rFonts w:hint="eastAsia" w:ascii="仿宋_GB2312" w:eastAsia="仿宋_GB2312" w:cs="仿宋_GB2312"/>
          <w:color w:val="000000" w:themeColor="text1"/>
          <w:sz w:val="32"/>
          <w:szCs w:val="32"/>
          <w:shd w:val="clear" w:color="auto" w:fill="FFFFFF"/>
        </w:rPr>
        <w:t>年初预算为129.2万元，支出决算为15.6万元，完成年初预算的12.07</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w:t>
      </w:r>
      <w:r>
        <w:rPr>
          <w:rFonts w:hint="eastAsia" w:ascii="仿宋_GB2312" w:eastAsia="仿宋_GB2312" w:cs="仿宋_GB2312"/>
          <w:color w:val="000000" w:themeColor="text1"/>
          <w:sz w:val="32"/>
          <w:szCs w:val="32"/>
          <w:shd w:val="clear" w:color="auto" w:fill="FFFFFF"/>
          <w:lang w:val="en-US" w:eastAsia="zh-CN"/>
        </w:rPr>
        <w:t>2018年政府购岗吸纳高校毕业生就业工作经费、河南省工伤认定鉴定管理系统推广应用经费、经费补助年底到账结转下年支出。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11</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社会保障和就业支出（类）人力资源和社会保障管理事务（款）综合业务管理（项）。</w:t>
      </w:r>
      <w:r>
        <w:rPr>
          <w:rFonts w:hint="eastAsia" w:ascii="仿宋_GB2312" w:eastAsia="仿宋_GB2312" w:cs="仿宋_GB2312"/>
          <w:sz w:val="32"/>
          <w:szCs w:val="32"/>
          <w:shd w:val="clear" w:color="auto" w:fill="FFFFFF"/>
        </w:rPr>
        <w:t>年初预算为384.43万元，支出决算为558.96万元，完成年初预算的145.4</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。决算数大于预算数的主要原因是上年结转支出经费本年支出。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12</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社会保障和就业支出（类）人力资源和社会保障管理事务（款）就业管理事务（项）。</w:t>
      </w:r>
      <w:r>
        <w:rPr>
          <w:rFonts w:hint="eastAsia" w:ascii="仿宋_GB2312" w:eastAsia="仿宋_GB2312" w:cs="仿宋_GB2312"/>
          <w:sz w:val="32"/>
          <w:szCs w:val="32"/>
          <w:shd w:val="clear" w:color="auto" w:fill="FFFFFF"/>
        </w:rPr>
        <w:t>年初预算为</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100%</w:t>
      </w:r>
      <w:r>
        <w:rPr>
          <w:rFonts w:hint="eastAsia" w:ascii="仿宋_GB2312" w:eastAsia="仿宋_GB2312" w:cs="仿宋_GB2312"/>
          <w:sz w:val="32"/>
          <w:szCs w:val="32"/>
          <w:shd w:val="clear" w:color="auto" w:fill="FFFFFF"/>
        </w:rPr>
        <w:t>。</w:t>
      </w:r>
    </w:p>
    <w:p>
      <w:pPr>
        <w:pStyle w:val="14"/>
        <w:ind w:firstLine="643" w:firstLineChars="200"/>
        <w:rPr>
          <w:rFonts w:ascii="仿宋_GB2312" w:eastAsia="仿宋_GB2312" w:cs="仿宋_GB2312"/>
          <w:b/>
          <w:bCs/>
          <w:sz w:val="32"/>
          <w:szCs w:val="32"/>
          <w:shd w:val="clear" w:color="auto" w:fill="FFFFFF"/>
        </w:rPr>
      </w:pPr>
      <w:r>
        <w:rPr>
          <w:rFonts w:hint="eastAsia" w:ascii="仿宋_GB2312" w:eastAsia="仿宋_GB2312" w:cs="仿宋_GB2312"/>
          <w:b/>
          <w:bCs/>
          <w:sz w:val="32"/>
          <w:szCs w:val="32"/>
          <w:shd w:val="clear" w:color="auto" w:fill="FFFFFF"/>
        </w:rPr>
        <w:t>13</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社会保障和就业支出（类）人力资源和社会保障管理事务（款）社会保险业务管理事务（项）。</w:t>
      </w:r>
      <w:r>
        <w:rPr>
          <w:rFonts w:hint="eastAsia" w:ascii="仿宋_GB2312" w:eastAsia="仿宋_GB2312" w:cs="仿宋_GB2312"/>
          <w:sz w:val="32"/>
          <w:szCs w:val="32"/>
          <w:shd w:val="clear" w:color="auto" w:fill="FFFFFF"/>
        </w:rPr>
        <w:t>年初预算为31万元，支出决算为31万元，完成年初预算的100</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14</w:t>
      </w:r>
      <w:r>
        <w:rPr>
          <w:rFonts w:ascii="仿宋_GB2312" w:eastAsia="仿宋_GB2312" w:cs="仿宋_GB2312"/>
          <w:b/>
          <w:bCs/>
          <w:sz w:val="32"/>
          <w:szCs w:val="32"/>
          <w:shd w:val="clear" w:color="auto" w:fill="FFFFFF"/>
        </w:rPr>
        <w:t>.</w:t>
      </w:r>
      <w:r>
        <w:rPr>
          <w:rFonts w:hint="eastAsia" w:ascii="仿宋_GB2312" w:eastAsia="仿宋_GB2312" w:cs="仿宋_GB2312"/>
          <w:b/>
          <w:bCs/>
          <w:sz w:val="32"/>
          <w:szCs w:val="32"/>
          <w:shd w:val="clear" w:color="auto" w:fill="FFFFFF"/>
        </w:rPr>
        <w:t>社会保障和就业支出（类）人力资源和社会保障管理事务（款）信息化建设（项）</w:t>
      </w:r>
      <w:r>
        <w:rPr>
          <w:rFonts w:hint="eastAsia" w:ascii="仿宋_GB2312" w:hAnsi="仿宋_GB2312" w:eastAsia="仿宋_GB2312" w:cs="仿宋_GB2312"/>
          <w:b/>
          <w:bCs/>
          <w:color w:val="666666"/>
          <w:sz w:val="31"/>
          <w:szCs w:val="31"/>
          <w:shd w:val="clear" w:color="auto" w:fill="FFFFFF"/>
        </w:rPr>
        <w:t>。</w:t>
      </w:r>
      <w:r>
        <w:rPr>
          <w:rFonts w:hint="eastAsia" w:ascii="仿宋_GB2312" w:eastAsia="仿宋_GB2312" w:cs="仿宋_GB2312"/>
          <w:sz w:val="32"/>
          <w:szCs w:val="32"/>
          <w:shd w:val="clear" w:color="auto" w:fill="FFFFFF"/>
        </w:rPr>
        <w:t>年初预算为420.44万元，支出决算为366.81万元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完成年初预算的87.24</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。决算数小于预算数的主要原因是软件、机房维护费部分尾款未支付，结转下年支出。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15. 社会保障和就业支出（类）人力资源和社会保障管理事务（款）社会保障经办机构（项）</w:t>
      </w:r>
      <w:r>
        <w:rPr>
          <w:rFonts w:hint="eastAsia" w:ascii="仿宋_GB2312" w:hAnsi="仿宋_GB2312" w:eastAsia="仿宋_GB2312" w:cs="仿宋_GB2312"/>
          <w:b/>
          <w:bCs/>
          <w:sz w:val="31"/>
          <w:szCs w:val="31"/>
          <w:shd w:val="clear" w:color="auto" w:fill="FFFFFF"/>
        </w:rPr>
        <w:t>。</w:t>
      </w:r>
      <w:r>
        <w:rPr>
          <w:rFonts w:hint="eastAsia" w:ascii="仿宋_GB2312" w:eastAsia="仿宋_GB2312" w:cs="仿宋_GB2312"/>
          <w:sz w:val="32"/>
          <w:szCs w:val="32"/>
          <w:shd w:val="clear" w:color="auto" w:fill="FFFFFF"/>
        </w:rPr>
        <w:t>年初预算为4043.90万元，支出决算为3765.99万元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完成年初预算的93.13</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。决算数小于预算数的主要原因是县区社会保险事业局人员经费和工作经费</w:t>
      </w:r>
      <w:r>
        <w:rPr>
          <w:rFonts w:hint="eastAsia" w:ascii="仿宋_GB2312" w:eastAsia="仿宋_GB2312" w:cs="仿宋_GB2312"/>
          <w:sz w:val="32"/>
          <w:szCs w:val="32"/>
          <w:shd w:val="clear" w:color="auto" w:fill="FFFFFF"/>
          <w:lang w:eastAsia="zh-CN"/>
        </w:rPr>
        <w:t>结转下年</w:t>
      </w:r>
      <w:r>
        <w:rPr>
          <w:rFonts w:hint="eastAsia" w:ascii="仿宋_GB2312" w:eastAsia="仿宋_GB2312" w:cs="仿宋_GB2312"/>
          <w:sz w:val="32"/>
          <w:szCs w:val="32"/>
          <w:shd w:val="clear" w:color="auto" w:fill="FFFFFF"/>
        </w:rPr>
        <w:t>支出。</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16</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社会保障和就业支出（类）人力资源和社会保障管理事务（款）劳动关系和维权（项）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初预算为1270.44万元，支出决算为267.27万元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完成年初预算的21.04</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。决算数小于预算数的主要原因是农民工周转金</w:t>
      </w:r>
      <w:r>
        <w:rPr>
          <w:rFonts w:hint="eastAsia" w:ascii="仿宋_GB2312" w:eastAsia="仿宋_GB2312" w:cs="仿宋_GB2312"/>
          <w:color w:val="000000" w:themeColor="text1"/>
          <w:sz w:val="32"/>
          <w:szCs w:val="32"/>
          <w:shd w:val="clear" w:color="auto" w:fill="FFFFFF"/>
          <w:lang w:val="en-US" w:eastAsia="zh-CN"/>
        </w:rPr>
        <w:t>1000万元</w:t>
      </w:r>
      <w:r>
        <w:rPr>
          <w:rFonts w:hint="eastAsia" w:ascii="仿宋_GB2312" w:eastAsia="仿宋_GB2312" w:cs="仿宋_GB2312"/>
          <w:sz w:val="32"/>
          <w:szCs w:val="32"/>
          <w:shd w:val="clear" w:color="auto" w:fill="FFFFFF"/>
        </w:rPr>
        <w:t>批复至我局。</w:t>
      </w:r>
    </w:p>
    <w:p>
      <w:pPr>
        <w:pStyle w:val="14"/>
        <w:ind w:firstLine="643" w:firstLineChars="200"/>
        <w:rPr>
          <w:rFonts w:hint="eastAsia" w:ascii="仿宋_GB2312" w:eastAsia="仿宋_GB2312" w:cs="仿宋_GB2312"/>
          <w:color w:val="FF0000"/>
          <w:sz w:val="32"/>
          <w:szCs w:val="32"/>
          <w:shd w:val="clear" w:color="auto" w:fill="FFFFFF"/>
        </w:rPr>
      </w:pPr>
      <w:r>
        <w:rPr>
          <w:rFonts w:hint="eastAsia" w:ascii="仿宋_GB2312" w:eastAsia="仿宋_GB2312" w:cs="仿宋_GB2312"/>
          <w:b/>
          <w:bCs/>
          <w:sz w:val="32"/>
          <w:szCs w:val="32"/>
          <w:shd w:val="clear" w:color="auto" w:fill="FFFFFF"/>
        </w:rPr>
        <w:t>17</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社会保障和就业支出（类）人力资源和社会保障管理事务（款）其他人力资源和社会保障管理事务支出（项）</w:t>
      </w:r>
      <w:r>
        <w:rPr>
          <w:rFonts w:hint="eastAsia" w:ascii="仿宋_GB2312" w:hAnsi="仿宋_GB2312" w:eastAsia="仿宋_GB2312" w:cs="仿宋_GB2312"/>
          <w:b/>
          <w:bCs/>
          <w:sz w:val="31"/>
          <w:szCs w:val="31"/>
          <w:shd w:val="clear" w:color="auto" w:fill="FFFFFF"/>
        </w:rPr>
        <w:t>。</w:t>
      </w:r>
      <w:r>
        <w:rPr>
          <w:rFonts w:hint="eastAsia" w:ascii="仿宋_GB2312" w:hAnsi="仿宋_GB2312" w:eastAsia="仿宋_GB2312" w:cs="仿宋_GB2312"/>
          <w:sz w:val="31"/>
          <w:szCs w:val="31"/>
          <w:shd w:val="clear" w:color="auto" w:fill="FFFFFF"/>
        </w:rPr>
        <w:t>年</w:t>
      </w:r>
      <w:r>
        <w:rPr>
          <w:rFonts w:hint="eastAsia" w:ascii="仿宋_GB2312" w:eastAsia="仿宋_GB2312" w:cs="仿宋_GB2312"/>
          <w:sz w:val="32"/>
          <w:szCs w:val="32"/>
          <w:shd w:val="clear" w:color="auto" w:fill="FFFFFF"/>
        </w:rPr>
        <w:t>初预算为418.63万元，支出决算为366.38万元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完成年初预算的87.52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w:t>
      </w:r>
      <w:r>
        <w:rPr>
          <w:rFonts w:hint="eastAsia" w:ascii="仿宋_GB2312" w:eastAsia="仿宋_GB2312" w:cs="仿宋_GB2312"/>
          <w:color w:val="000000" w:themeColor="text1"/>
          <w:sz w:val="32"/>
          <w:szCs w:val="32"/>
          <w:shd w:val="clear" w:color="auto" w:fill="FFFFFF"/>
        </w:rPr>
        <w:t>是</w:t>
      </w:r>
      <w:r>
        <w:rPr>
          <w:rFonts w:hint="eastAsia" w:ascii="仿宋_GB2312" w:eastAsia="仿宋_GB2312" w:cs="仿宋_GB2312"/>
          <w:color w:val="000000" w:themeColor="text1"/>
          <w:sz w:val="32"/>
          <w:szCs w:val="32"/>
          <w:shd w:val="clear" w:color="auto" w:fill="FFFFFF"/>
          <w:lang w:eastAsia="zh-CN"/>
        </w:rPr>
        <w:t>人事考试考务费用、人才市场智能化招聘大厅装修、装饰工程款等资金年底到账结转下年支出</w:t>
      </w:r>
      <w:r>
        <w:rPr>
          <w:rFonts w:hint="eastAsia" w:ascii="仿宋_GB2312" w:eastAsia="仿宋_GB2312" w:cs="仿宋_GB2312"/>
          <w:color w:val="000000" w:themeColor="text1"/>
          <w:sz w:val="32"/>
          <w:szCs w:val="32"/>
          <w:shd w:val="clear" w:color="auto" w:fill="FFFFFF"/>
        </w:rPr>
        <w:t>。</w:t>
      </w:r>
    </w:p>
    <w:p>
      <w:pPr>
        <w:pStyle w:val="14"/>
        <w:ind w:firstLine="643" w:firstLineChars="200"/>
        <w:rPr>
          <w:rFonts w:ascii="仿宋_GB2312" w:eastAsia="仿宋_GB2312" w:cs="仿宋_GB2312"/>
          <w:b/>
          <w:bCs/>
          <w:sz w:val="32"/>
          <w:szCs w:val="32"/>
          <w:shd w:val="clear" w:color="auto" w:fill="FFFFFF"/>
        </w:rPr>
      </w:pPr>
      <w:r>
        <w:rPr>
          <w:rFonts w:hint="eastAsia" w:ascii="仿宋_GB2312" w:eastAsia="仿宋_GB2312" w:cs="仿宋_GB2312"/>
          <w:b/>
          <w:bCs/>
          <w:sz w:val="32"/>
          <w:szCs w:val="32"/>
          <w:shd w:val="clear" w:color="auto" w:fill="FFFFFF"/>
        </w:rPr>
        <w:t>18.社会保障和就业支出（类）民族管理事务（款）拥军优属（项）。</w:t>
      </w:r>
      <w:r>
        <w:rPr>
          <w:rFonts w:hint="eastAsia" w:ascii="仿宋_GB2312" w:eastAsia="仿宋_GB2312" w:cs="仿宋_GB2312"/>
          <w:sz w:val="32"/>
          <w:szCs w:val="32"/>
          <w:shd w:val="clear" w:color="auto" w:fill="FFFFFF"/>
        </w:rPr>
        <w:t>年初预算为30万元，支出决算为30万元，完成年初预算的100%。</w:t>
      </w:r>
    </w:p>
    <w:p>
      <w:pPr>
        <w:pStyle w:val="14"/>
        <w:ind w:firstLine="643" w:firstLineChars="200"/>
        <w:rPr>
          <w:rFonts w:ascii="仿宋_GB2312" w:eastAsia="仿宋_GB2312" w:cs="仿宋_GB2312"/>
          <w:color w:val="FF0000"/>
          <w:sz w:val="32"/>
          <w:szCs w:val="32"/>
          <w:shd w:val="clear" w:color="auto" w:fill="FFFFFF"/>
        </w:rPr>
      </w:pPr>
      <w:r>
        <w:rPr>
          <w:rFonts w:hint="eastAsia" w:ascii="仿宋_GB2312" w:eastAsia="仿宋_GB2312" w:cs="仿宋_GB2312"/>
          <w:b/>
          <w:bCs/>
          <w:color w:val="000000" w:themeColor="text1"/>
          <w:sz w:val="32"/>
          <w:szCs w:val="32"/>
          <w:shd w:val="clear" w:color="auto" w:fill="FFFFFF"/>
        </w:rPr>
        <w:t>19</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社会保障和就业支出（类）行政事业单位离退休（款）归口管理的行政单位离退休（项）</w:t>
      </w:r>
      <w:r>
        <w:rPr>
          <w:rFonts w:hint="eastAsia" w:ascii="仿宋_GB2312" w:hAnsi="仿宋_GB2312" w:eastAsia="仿宋_GB2312" w:cs="仿宋_GB2312"/>
          <w:b/>
          <w:bCs/>
          <w:color w:val="000000" w:themeColor="text1"/>
          <w:sz w:val="31"/>
          <w:szCs w:val="31"/>
          <w:shd w:val="clear" w:color="auto" w:fill="FFFFFF"/>
        </w:rPr>
        <w:t>。</w:t>
      </w:r>
      <w:r>
        <w:rPr>
          <w:rFonts w:hint="eastAsia" w:ascii="仿宋_GB2312" w:hAnsi="仿宋_GB2312" w:eastAsia="仿宋_GB2312" w:cs="仿宋_GB2312"/>
          <w:color w:val="000000" w:themeColor="text1"/>
          <w:sz w:val="31"/>
          <w:szCs w:val="31"/>
          <w:shd w:val="clear" w:color="auto" w:fill="FFFFFF"/>
        </w:rPr>
        <w:t>年</w:t>
      </w:r>
      <w:r>
        <w:rPr>
          <w:rFonts w:hint="eastAsia" w:ascii="仿宋_GB2312" w:eastAsia="仿宋_GB2312" w:cs="仿宋_GB2312"/>
          <w:color w:val="000000" w:themeColor="text1"/>
          <w:sz w:val="32"/>
          <w:szCs w:val="32"/>
          <w:shd w:val="clear" w:color="auto" w:fill="FFFFFF"/>
        </w:rPr>
        <w:t>初预算为558.86万元，支出决算为544.66万元</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完成年初预算的97.46</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。决算数小于预算数的主要原因是本年</w:t>
      </w:r>
      <w:r>
        <w:rPr>
          <w:rFonts w:hint="eastAsia" w:ascii="仿宋_GB2312" w:eastAsia="仿宋_GB2312" w:cs="仿宋_GB2312"/>
          <w:color w:val="000000" w:themeColor="text1"/>
          <w:sz w:val="32"/>
          <w:szCs w:val="32"/>
          <w:shd w:val="clear" w:color="auto" w:fill="FFFFFF"/>
          <w:lang w:eastAsia="zh-CN"/>
        </w:rPr>
        <w:t>收入结转下年支出</w:t>
      </w:r>
      <w:r>
        <w:rPr>
          <w:rFonts w:hint="eastAsia" w:ascii="仿宋_GB2312" w:eastAsia="仿宋_GB2312" w:cs="仿宋_GB2312"/>
          <w:color w:val="000000" w:themeColor="text1"/>
          <w:sz w:val="32"/>
          <w:szCs w:val="32"/>
          <w:shd w:val="clear" w:color="auto" w:fill="FFFFFF"/>
        </w:rPr>
        <w:t>。</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20</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社会保障和就业支出（类）行政事业单位离退休（款）事业单位离退休（项）</w:t>
      </w:r>
      <w:r>
        <w:rPr>
          <w:rFonts w:hint="eastAsia" w:ascii="仿宋_GB2312" w:hAnsi="仿宋_GB2312" w:eastAsia="仿宋_GB2312" w:cs="仿宋_GB2312"/>
          <w:b/>
          <w:bCs/>
          <w:sz w:val="31"/>
          <w:szCs w:val="31"/>
          <w:shd w:val="clear" w:color="auto" w:fill="FFFFFF"/>
        </w:rPr>
        <w:t>。</w:t>
      </w:r>
      <w:r>
        <w:rPr>
          <w:rFonts w:hint="eastAsia" w:ascii="仿宋_GB2312" w:eastAsia="仿宋_GB2312" w:cs="仿宋_GB2312"/>
          <w:sz w:val="32"/>
          <w:szCs w:val="32"/>
          <w:shd w:val="clear" w:color="auto" w:fill="FFFFFF"/>
        </w:rPr>
        <w:t>年初预算为2.35万元，支</w:t>
      </w:r>
    </w:p>
    <w:p>
      <w:pPr>
        <w:pStyle w:val="14"/>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出决算为2.32万元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完成年初预算的98.72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。决算数小于预算数的主要原因是事业单位离退休经费结转下年支出。</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21</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社会保障和就业支出（类）行政事业单位离退休（款）机关事业单位基本养老保险缴费支出（项）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初预算为552.69万元，支出决算为564.43万元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完成年初预算的102.12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。决算数大于预算数的主要原因是机关事业单位基本养老保险缴费上年结转资金本年支出。</w:t>
      </w:r>
    </w:p>
    <w:p>
      <w:pPr>
        <w:pStyle w:val="14"/>
        <w:ind w:firstLine="643" w:firstLineChars="200"/>
        <w:rPr>
          <w:rFonts w:ascii="仿宋_GB2312" w:eastAsia="仿宋_GB2312" w:cs="仿宋_GB2312"/>
          <w:b/>
          <w:bCs/>
          <w:color w:val="7030A0"/>
          <w:sz w:val="32"/>
          <w:szCs w:val="32"/>
          <w:shd w:val="clear" w:color="auto" w:fill="FFFFFF"/>
        </w:rPr>
      </w:pPr>
      <w:r>
        <w:rPr>
          <w:rFonts w:hint="eastAsia" w:ascii="仿宋_GB2312" w:eastAsia="仿宋_GB2312" w:cs="仿宋_GB2312"/>
          <w:b/>
          <w:bCs/>
          <w:color w:val="000000" w:themeColor="text1"/>
          <w:sz w:val="32"/>
          <w:szCs w:val="32"/>
          <w:shd w:val="clear" w:color="auto" w:fill="FFFFFF"/>
        </w:rPr>
        <w:t>22. 社会保障和就业支出（类）企业改革补助（款）企业关闭破产补助（项）</w:t>
      </w:r>
      <w:r>
        <w:rPr>
          <w:rFonts w:hint="eastAsia" w:ascii="仿宋_GB2312" w:hAnsi="仿宋_GB2312" w:eastAsia="仿宋_GB2312" w:cs="仿宋_GB2312"/>
          <w:b/>
          <w:bCs/>
          <w:color w:val="000000" w:themeColor="text1"/>
          <w:sz w:val="31"/>
          <w:szCs w:val="31"/>
          <w:shd w:val="clear" w:color="auto" w:fill="FFFFFF"/>
        </w:rPr>
        <w:t>。年</w:t>
      </w:r>
      <w:r>
        <w:rPr>
          <w:rFonts w:hint="eastAsia" w:ascii="仿宋_GB2312" w:eastAsia="仿宋_GB2312" w:cs="仿宋_GB2312"/>
          <w:color w:val="000000" w:themeColor="text1"/>
          <w:sz w:val="32"/>
          <w:szCs w:val="32"/>
          <w:shd w:val="clear" w:color="auto" w:fill="FFFFFF"/>
        </w:rPr>
        <w:t>初预算为26.3万元，支出决算为32.69万元</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完成年初预算的</w:t>
      </w:r>
      <w:r>
        <w:rPr>
          <w:rFonts w:hint="eastAsia" w:ascii="仿宋_GB2312" w:eastAsia="仿宋_GB2312" w:cs="仿宋_GB2312"/>
          <w:color w:val="000000" w:themeColor="text1"/>
          <w:sz w:val="32"/>
          <w:szCs w:val="32"/>
          <w:shd w:val="clear" w:color="auto" w:fill="FFFFFF"/>
          <w:lang w:val="en-US" w:eastAsia="zh-CN"/>
        </w:rPr>
        <w:t>124</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lang w:eastAsia="zh-CN"/>
        </w:rPr>
        <w:t>，决算数与预算数存在差异的主要原因是本年支出上年结转资金。</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23</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社会保障和就业支出（类）企业改革补助（款）其他企业改革发展补助（项）。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初预算为176.01万元，支出决算为176.01万元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完成年初预算的100</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24.社会保障和就业支出（类）就业补助（款）就业创业服务补贴（项）。</w:t>
      </w:r>
      <w:r>
        <w:rPr>
          <w:rFonts w:hint="eastAsia" w:ascii="仿宋_GB2312" w:eastAsia="仿宋_GB2312" w:cs="仿宋_GB2312"/>
          <w:sz w:val="32"/>
          <w:szCs w:val="32"/>
          <w:shd w:val="clear" w:color="auto" w:fill="FFFFFF"/>
        </w:rPr>
        <w:t>年初预算为432.69万元，支出决算数为426.74万元，完成年初预算的98.62%，决算数与预算数存在差异的主要原因是就业服务补贴资金结转下年支出。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25</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社会保障和就业支出（类）就业补助（款）职业培训补贴（项）。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初预算为393.04万元，支出决算为388.13万元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完成年初预算的98.75</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，决算数与预算数存在差异的主要原因是职业培训补贴需结转下年支出</w:t>
      </w:r>
    </w:p>
    <w:p>
      <w:pPr>
        <w:pStyle w:val="14"/>
        <w:ind w:firstLine="643" w:firstLineChars="200"/>
        <w:rPr>
          <w:rFonts w:ascii="仿宋_GB2312" w:hAnsi="仿宋_GB2312" w:eastAsia="仿宋_GB2312"/>
          <w:color w:val="666666"/>
          <w:sz w:val="31"/>
          <w:szCs w:val="31"/>
          <w:shd w:val="clear" w:color="auto" w:fill="FFFFFF"/>
        </w:rPr>
      </w:pPr>
      <w:r>
        <w:rPr>
          <w:rFonts w:hint="eastAsia" w:ascii="仿宋_GB2312" w:eastAsia="仿宋_GB2312" w:cs="仿宋_GB2312"/>
          <w:b/>
          <w:bCs/>
          <w:sz w:val="32"/>
          <w:szCs w:val="32"/>
          <w:shd w:val="clear" w:color="auto" w:fill="FFFFFF"/>
        </w:rPr>
        <w:t>26</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社会保障和就业支出（类）就业补助（款）其他就业补助支出（项）。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初预算为5万元，支出决算为5万元，完成年初预算的100%。</w:t>
      </w:r>
    </w:p>
    <w:p>
      <w:pPr>
        <w:pStyle w:val="14"/>
        <w:ind w:firstLine="643" w:firstLineChars="200"/>
        <w:rPr>
          <w:rFonts w:hint="eastAsia" w:ascii="仿宋_GB2312" w:eastAsia="仿宋_GB2312" w:cs="仿宋_GB2312"/>
          <w:color w:val="000000" w:themeColor="text1"/>
          <w:sz w:val="32"/>
          <w:szCs w:val="32"/>
          <w:shd w:val="clear" w:color="auto" w:fill="FFFFFF"/>
        </w:rPr>
      </w:pPr>
      <w:r>
        <w:rPr>
          <w:rFonts w:hint="eastAsia" w:ascii="仿宋_GB2312" w:eastAsia="仿宋_GB2312" w:cs="仿宋_GB2312"/>
          <w:b/>
          <w:bCs/>
          <w:color w:val="000000" w:themeColor="text1"/>
          <w:sz w:val="32"/>
          <w:szCs w:val="32"/>
          <w:shd w:val="clear" w:color="auto" w:fill="FFFFFF"/>
        </w:rPr>
        <w:t>27</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社会保障和就业支出（类）抚恤（款）死亡抚恤（项）。</w:t>
      </w:r>
      <w:r>
        <w:rPr>
          <w:rFonts w:hint="eastAsia" w:ascii="仿宋_GB2312" w:hAnsi="仿宋_GB2312" w:eastAsia="仿宋_GB2312" w:cs="仿宋_GB2312"/>
          <w:b w:val="0"/>
          <w:bCs w:val="0"/>
          <w:color w:val="000000" w:themeColor="text1"/>
          <w:sz w:val="32"/>
          <w:szCs w:val="32"/>
          <w:shd w:val="clear" w:color="auto" w:fill="FFFFFF"/>
        </w:rPr>
        <w:t>年</w:t>
      </w:r>
      <w:r>
        <w:rPr>
          <w:rFonts w:hint="eastAsia" w:ascii="仿宋_GB2312" w:eastAsia="仿宋_GB2312" w:cs="仿宋_GB2312"/>
          <w:color w:val="000000" w:themeColor="text1"/>
          <w:sz w:val="32"/>
          <w:szCs w:val="32"/>
          <w:shd w:val="clear" w:color="auto" w:fill="FFFFFF"/>
        </w:rPr>
        <w:t>初预算为129.21万元，支出决算为110.50万元</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完成年初预算的85.52</w:t>
      </w:r>
      <w:r>
        <w:rPr>
          <w:rFonts w:ascii="仿宋_GB2312" w:eastAsia="仿宋_GB2312" w:cs="仿宋_GB2312"/>
          <w:color w:val="000000" w:themeColor="text1"/>
          <w:sz w:val="32"/>
          <w:szCs w:val="32"/>
          <w:shd w:val="clear" w:color="auto" w:fill="FFFFFF"/>
        </w:rPr>
        <w:t>%</w:t>
      </w:r>
      <w:r>
        <w:rPr>
          <w:rFonts w:hint="eastAsia" w:ascii="仿宋_GB2312" w:eastAsia="仿宋_GB2312" w:cs="仿宋_GB2312"/>
          <w:color w:val="000000" w:themeColor="text1"/>
          <w:sz w:val="32"/>
          <w:szCs w:val="32"/>
          <w:shd w:val="clear" w:color="auto" w:fill="FFFFFF"/>
        </w:rPr>
        <w:t>。决算数小于预算数的主要原因是</w:t>
      </w:r>
      <w:r>
        <w:rPr>
          <w:rFonts w:hint="eastAsia" w:ascii="仿宋_GB2312" w:eastAsia="仿宋_GB2312" w:cs="仿宋_GB2312"/>
          <w:color w:val="000000" w:themeColor="text1"/>
          <w:sz w:val="32"/>
          <w:szCs w:val="32"/>
          <w:shd w:val="clear" w:color="auto" w:fill="FFFFFF"/>
          <w:lang w:eastAsia="zh-CN"/>
        </w:rPr>
        <w:t>退休人员死亡抚恤金结转下年支出</w:t>
      </w:r>
      <w:r>
        <w:rPr>
          <w:rFonts w:hint="eastAsia" w:ascii="仿宋_GB2312" w:eastAsia="仿宋_GB2312" w:cs="仿宋_GB2312"/>
          <w:color w:val="000000" w:themeColor="text1"/>
          <w:sz w:val="32"/>
          <w:szCs w:val="32"/>
          <w:shd w:val="clear" w:color="auto" w:fill="FFFFFF"/>
        </w:rPr>
        <w:t>。</w:t>
      </w:r>
    </w:p>
    <w:p>
      <w:pPr>
        <w:pStyle w:val="14"/>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28</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社会保障和就业支出（类）其他社会保障和就业支出（款）其他社会保障和就业支出（项）。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初预算为380.9万元，支出决算为405.1万元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完成年初预算的106.35</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。决算数大于预算数的主要原因是上年结转资金本年支出。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color w:val="000000" w:themeColor="text1"/>
          <w:sz w:val="32"/>
          <w:szCs w:val="32"/>
          <w:shd w:val="clear" w:color="auto" w:fill="FFFFFF"/>
        </w:rPr>
        <w:t>29</w:t>
      </w:r>
      <w:r>
        <w:rPr>
          <w:rFonts w:ascii="仿宋_GB2312" w:eastAsia="仿宋_GB2312" w:cs="仿宋_GB2312"/>
          <w:b/>
          <w:bCs/>
          <w:color w:val="000000" w:themeColor="text1"/>
          <w:sz w:val="32"/>
          <w:szCs w:val="32"/>
          <w:shd w:val="clear" w:color="auto" w:fill="FFFFFF"/>
        </w:rPr>
        <w:t xml:space="preserve">. </w:t>
      </w:r>
      <w:r>
        <w:rPr>
          <w:rFonts w:hint="eastAsia" w:ascii="仿宋_GB2312" w:eastAsia="仿宋_GB2312" w:cs="仿宋_GB2312"/>
          <w:b/>
          <w:bCs/>
          <w:color w:val="000000" w:themeColor="text1"/>
          <w:sz w:val="32"/>
          <w:szCs w:val="32"/>
          <w:shd w:val="clear" w:color="auto" w:fill="FFFFFF"/>
        </w:rPr>
        <w:t>医疗卫生与计划生育支出（类）行政事业单位医疗</w:t>
      </w:r>
      <w:r>
        <w:rPr>
          <w:rFonts w:hint="eastAsia" w:ascii="仿宋_GB2312" w:eastAsia="仿宋_GB2312" w:cs="仿宋_GB2312"/>
          <w:b/>
          <w:bCs/>
          <w:sz w:val="32"/>
          <w:szCs w:val="32"/>
          <w:shd w:val="clear" w:color="auto" w:fill="FFFFFF"/>
        </w:rPr>
        <w:t>（款）行政单位医疗（项）。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初预算为58.38万元，支出决算为54.69万元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完成年初预算的93.68</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。决算数小于预算数的主要原因是行政单位医疗资金结转下年支出。</w:t>
      </w:r>
    </w:p>
    <w:p>
      <w:pPr>
        <w:pStyle w:val="14"/>
        <w:ind w:firstLine="643" w:firstLineChars="200"/>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30</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医疗卫生与计划生育支出（类）行政事业单位医疗（款）事业单位医疗（项）。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初预算为291.21万元，支出决算为335.08万元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完成年初预算的115.06</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。决算数大于预算数的主要原因是事业单位医疗上年结转资金本年支出。</w:t>
      </w:r>
    </w:p>
    <w:p>
      <w:pPr>
        <w:pStyle w:val="14"/>
        <w:keepNext w:val="0"/>
        <w:keepLines w:val="0"/>
        <w:pageBreakBefore w:val="0"/>
        <w:widowControl/>
        <w:kinsoku/>
        <w:wordWrap/>
        <w:overflowPunct/>
        <w:topLinePunct w:val="0"/>
        <w:autoSpaceDE/>
        <w:autoSpaceDN/>
        <w:bidi w:val="0"/>
        <w:adjustRightInd/>
        <w:snapToGrid/>
        <w:ind w:firstLine="643" w:firstLineChars="200"/>
        <w:textAlignment w:val="auto"/>
        <w:rPr>
          <w:rFonts w:ascii="仿宋_GB2312" w:eastAsia="仿宋_GB2312"/>
          <w:sz w:val="32"/>
          <w:szCs w:val="32"/>
          <w:shd w:val="clear" w:color="auto" w:fill="FFFFFF"/>
        </w:rPr>
      </w:pPr>
      <w:r>
        <w:rPr>
          <w:rFonts w:hint="eastAsia" w:ascii="仿宋_GB2312" w:eastAsia="仿宋_GB2312" w:cs="仿宋_GB2312"/>
          <w:b/>
          <w:bCs/>
          <w:sz w:val="32"/>
          <w:szCs w:val="32"/>
          <w:shd w:val="clear" w:color="auto" w:fill="FFFFFF"/>
        </w:rPr>
        <w:t>31</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医疗卫生与计划生育支出（类）其他医疗卫生与计划生育支出（款）其他医疗卫生与计划生育支出（项）。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初预算为48万元，支出决算为48万元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w:t>
      </w:r>
      <w:r>
        <w:rPr>
          <w:rFonts w:ascii="仿宋_GB2312" w:eastAsia="仿宋_GB2312" w:cs="仿宋_GB2312"/>
          <w:sz w:val="32"/>
          <w:szCs w:val="32"/>
          <w:shd w:val="clear" w:color="auto" w:fill="FFFFFF"/>
        </w:rPr>
        <w:t>100%</w:t>
      </w:r>
      <w:r>
        <w:rPr>
          <w:rFonts w:hint="eastAsia" w:ascii="仿宋_GB2312" w:eastAsia="仿宋_GB2312" w:cs="仿宋_GB2312"/>
          <w:sz w:val="32"/>
          <w:szCs w:val="32"/>
          <w:shd w:val="clear" w:color="auto" w:fill="FFFFFF"/>
        </w:rPr>
        <w:t>。</w:t>
      </w:r>
    </w:p>
    <w:p>
      <w:pPr>
        <w:pStyle w:val="7"/>
        <w:shd w:val="clear" w:color="auto" w:fill="FFFFFF"/>
        <w:spacing w:beforeAutospacing="0" w:afterAutospacing="0" w:line="600" w:lineRule="exact"/>
        <w:ind w:firstLine="643" w:firstLineChars="200"/>
        <w:jc w:val="both"/>
        <w:rPr>
          <w:rFonts w:ascii="仿宋_GB2312" w:hAnsi="仿宋_GB2312" w:eastAsia="仿宋_GB2312" w:cs="仿宋_GB2312"/>
          <w:sz w:val="32"/>
          <w:szCs w:val="32"/>
        </w:rPr>
      </w:pPr>
      <w:r>
        <w:rPr>
          <w:rFonts w:hint="eastAsia" w:ascii="仿宋_GB2312" w:eastAsia="仿宋_GB2312" w:cs="仿宋_GB2312"/>
          <w:b/>
          <w:bCs/>
          <w:sz w:val="32"/>
          <w:szCs w:val="32"/>
          <w:shd w:val="clear" w:color="auto" w:fill="FFFFFF"/>
        </w:rPr>
        <w:t>32</w:t>
      </w:r>
      <w:r>
        <w:rPr>
          <w:rFonts w:ascii="仿宋_GB2312" w:eastAsia="仿宋_GB2312" w:cs="仿宋_GB2312"/>
          <w:b/>
          <w:bCs/>
          <w:sz w:val="32"/>
          <w:szCs w:val="32"/>
          <w:shd w:val="clear" w:color="auto" w:fill="FFFFFF"/>
        </w:rPr>
        <w:t xml:space="preserve">. </w:t>
      </w:r>
      <w:r>
        <w:rPr>
          <w:rFonts w:hint="eastAsia" w:ascii="仿宋_GB2312" w:eastAsia="仿宋_GB2312" w:cs="仿宋_GB2312"/>
          <w:b/>
          <w:bCs/>
          <w:sz w:val="32"/>
          <w:szCs w:val="32"/>
          <w:shd w:val="clear" w:color="auto" w:fill="FFFFFF"/>
        </w:rPr>
        <w:t>住房保障支出（类）住房改革支出（款）住房公积金（项）。</w:t>
      </w:r>
      <w:r>
        <w:rPr>
          <w:rFonts w:hint="eastAsia" w:ascii="仿宋_GB2312" w:hAnsi="仿宋_GB2312" w:eastAsia="仿宋_GB2312" w:cs="仿宋_GB2312"/>
          <w:b/>
          <w:bCs/>
          <w:color w:val="666666"/>
          <w:sz w:val="31"/>
          <w:szCs w:val="31"/>
          <w:shd w:val="clear" w:color="auto" w:fill="FFFFFF"/>
        </w:rPr>
        <w:t>年</w:t>
      </w:r>
      <w:r>
        <w:rPr>
          <w:rFonts w:hint="eastAsia" w:ascii="仿宋_GB2312" w:eastAsia="仿宋_GB2312" w:cs="仿宋_GB2312"/>
          <w:sz w:val="32"/>
          <w:szCs w:val="32"/>
          <w:shd w:val="clear" w:color="auto" w:fill="FFFFFF"/>
        </w:rPr>
        <w:t>初预算为305.97万元，支出决算为302.79万元</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完成年初预算的98.96</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。决算数小于预算数的主要原因是住房公积金结转下年支出。</w:t>
      </w:r>
    </w:p>
    <w:p>
      <w:pPr>
        <w:pStyle w:val="7"/>
        <w:shd w:val="clear" w:color="auto" w:fill="FFFFFF"/>
        <w:spacing w:beforeAutospacing="0" w:afterAutospacing="0" w:line="600" w:lineRule="exact"/>
        <w:ind w:firstLine="640" w:firstLineChars="200"/>
        <w:jc w:val="both"/>
        <w:rPr>
          <w:sz w:val="32"/>
          <w:szCs w:val="32"/>
          <w:shd w:val="clear" w:color="auto" w:fill="FFFFFF"/>
        </w:rPr>
      </w:pPr>
      <w:r>
        <w:rPr>
          <w:rFonts w:hint="eastAsia" w:ascii="黑体" w:hAnsi="宋体" w:eastAsia="黑体" w:cs="黑体"/>
          <w:sz w:val="32"/>
          <w:szCs w:val="32"/>
          <w:shd w:val="clear" w:color="auto" w:fill="FFFFFF"/>
        </w:rPr>
        <w:t>六、一般公共预算财政拨款基本支出决算情况说明</w:t>
      </w:r>
    </w:p>
    <w:p>
      <w:pPr>
        <w:pStyle w:val="14"/>
        <w:ind w:firstLine="640" w:firstLineChars="200"/>
      </w:pPr>
      <w:r>
        <w:rPr>
          <w:rFonts w:hint="eastAsia" w:ascii="仿宋_GB2312" w:hAnsi="仿宋_GB2312" w:eastAsia="仿宋_GB2312" w:cs="仿宋_GB2312"/>
          <w:sz w:val="32"/>
          <w:szCs w:val="32"/>
          <w:shd w:val="clear" w:color="auto" w:fill="FFFFFF"/>
        </w:rPr>
        <w:t>2018年一般公共预算财政拨款基本支出8215.39万元。其中：人员经费7485.46万元，主要包括：</w:t>
      </w:r>
      <w:r>
        <w:rPr>
          <w:rFonts w:hint="eastAsia" w:ascii="仿宋_GB2312" w:eastAsia="仿宋_GB2312" w:cs="仿宋_GB2312"/>
          <w:sz w:val="32"/>
          <w:szCs w:val="32"/>
          <w:shd w:val="clear" w:color="auto" w:fill="FFFFFF"/>
        </w:rPr>
        <w:t>基本工资、津贴补贴、奖金、其他社会保险缴费、伙食补助费、绩效工资、机关事业单位基本养老保险缴费、职业年金缴费、其他工资福利支出、离休费、退休费、抚恤金、生活补助、救济费、医疗费、奖励金、住房公积金、采暖补贴、其他对个人和家庭的补助支出</w:t>
      </w:r>
      <w:r>
        <w:rPr>
          <w:rFonts w:hint="eastAsia" w:ascii="仿宋_GB2312" w:hAnsi="仿宋_GB2312" w:eastAsia="仿宋_GB2312" w:cs="仿宋_GB2312"/>
          <w:sz w:val="32"/>
          <w:szCs w:val="32"/>
          <w:shd w:val="clear" w:color="auto" w:fill="FFFFFF"/>
        </w:rPr>
        <w:t>；公用经费729.93万元，主要包括：</w:t>
      </w:r>
      <w:r>
        <w:rPr>
          <w:rFonts w:hint="eastAsia" w:ascii="仿宋_GB2312" w:eastAsia="仿宋_GB2312" w:cs="仿宋_GB2312"/>
          <w:sz w:val="32"/>
          <w:szCs w:val="32"/>
          <w:shd w:val="clear" w:color="auto" w:fill="FFFFFF"/>
        </w:rPr>
        <w:t>办公费、印刷费、咨询费、手续费、水费、电费、邮电费、取暖费、物业管理费、维（修）护费、差旅费、租赁费、会议费、培训费、公务接待费、</w:t>
      </w:r>
      <w:r>
        <w:rPr>
          <w:rFonts w:hint="eastAsia" w:ascii="仿宋" w:hAnsi="仿宋" w:eastAsia="仿宋" w:cs="仿宋"/>
          <w:sz w:val="32"/>
          <w:szCs w:val="32"/>
          <w:shd w:val="clear" w:color="auto" w:fill="FFFFFF"/>
        </w:rPr>
        <w:t>劳务</w:t>
      </w:r>
      <w:r>
        <w:rPr>
          <w:rFonts w:hint="eastAsia" w:ascii="仿宋_GB2312" w:eastAsia="仿宋_GB2312" w:cs="仿宋_GB2312"/>
          <w:sz w:val="32"/>
          <w:szCs w:val="32"/>
          <w:shd w:val="clear" w:color="auto" w:fill="FFFFFF"/>
        </w:rPr>
        <w:t>费、委托业务费、工会经费、福利费、公务用车运行维护费、其他交通费用、税金及附加费、其他商品和服务支出、办公设备购置、信息网络及软件购置更新、其他资本性支出。</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七、一般公共预算财政拨款“三公”经费支出决算情况说明</w:t>
      </w:r>
    </w:p>
    <w:p>
      <w:pPr>
        <w:pStyle w:val="7"/>
        <w:shd w:val="clear" w:color="auto" w:fill="FFFFFF"/>
        <w:spacing w:beforeAutospacing="0" w:afterAutospacing="0" w:line="600" w:lineRule="exact"/>
        <w:ind w:firstLine="640" w:firstLineChars="200"/>
        <w:jc w:val="both"/>
        <w:rPr>
          <w:sz w:val="32"/>
          <w:szCs w:val="32"/>
        </w:rPr>
      </w:pPr>
      <w:r>
        <w:rPr>
          <w:rFonts w:hint="eastAsia" w:ascii="楷体_GB2312" w:hAnsi="楷体_GB2312" w:eastAsia="楷体_GB2312" w:cs="楷体_GB2312"/>
          <w:sz w:val="32"/>
          <w:szCs w:val="32"/>
          <w:shd w:val="clear" w:color="auto" w:fill="FFFFFF"/>
        </w:rPr>
        <w:t>（一）“三公”经费财政拨款支出决算总体情况说明。</w:t>
      </w:r>
    </w:p>
    <w:p>
      <w:pPr>
        <w:pStyle w:val="7"/>
        <w:shd w:val="clear" w:color="auto" w:fill="FFFFFF"/>
        <w:spacing w:beforeAutospacing="0" w:afterAutospacing="0" w:line="600" w:lineRule="exact"/>
        <w:ind w:firstLine="640" w:firstLineChars="200"/>
        <w:jc w:val="both"/>
        <w:rPr>
          <w:shd w:val="clear" w:color="auto" w:fill="FFFFFF"/>
        </w:rPr>
      </w:pPr>
      <w:r>
        <w:rPr>
          <w:rFonts w:hint="eastAsia" w:ascii="仿宋" w:hAnsi="仿宋" w:eastAsia="仿宋" w:cs="仿宋"/>
          <w:sz w:val="32"/>
          <w:szCs w:val="32"/>
          <w:shd w:val="clear" w:color="auto" w:fill="FFFFFF"/>
        </w:rPr>
        <w:t>2018年度“三公”经费财政拨款支出预算为119.15万元，支出决算为69.03万元，完成预算的57.94%。2018年度“三公”经费支出决算数与预算数存在差异的主要原因是认真贯彻中央“八项规定”要求和厉行节约要求，进一步从</w:t>
      </w:r>
      <w:r>
        <w:rPr>
          <w:rFonts w:hint="eastAsia" w:ascii="仿宋_GB2312" w:eastAsia="仿宋_GB2312" w:cs="仿宋_GB2312"/>
          <w:sz w:val="32"/>
          <w:szCs w:val="32"/>
          <w:shd w:val="clear" w:color="auto" w:fill="FFFFFF"/>
        </w:rPr>
        <w:t>严控制“三公”经费开支，全年实际支出比预算有所节约。</w:t>
      </w:r>
    </w:p>
    <w:p>
      <w:pPr>
        <w:pStyle w:val="7"/>
        <w:shd w:val="clear" w:color="auto" w:fill="FFFFFF"/>
        <w:spacing w:beforeAutospacing="0" w:afterAutospacing="0" w:line="600" w:lineRule="exact"/>
        <w:ind w:firstLine="640" w:firstLineChars="200"/>
        <w:jc w:val="both"/>
        <w:rPr>
          <w:sz w:val="32"/>
          <w:szCs w:val="32"/>
        </w:rPr>
      </w:pPr>
      <w:r>
        <w:rPr>
          <w:rFonts w:hint="eastAsia" w:ascii="楷体_GB2312" w:hAnsi="楷体_GB2312" w:eastAsia="楷体_GB2312" w:cs="楷体_GB2312"/>
          <w:sz w:val="32"/>
          <w:szCs w:val="32"/>
          <w:shd w:val="clear" w:color="auto" w:fill="FFFFFF"/>
        </w:rPr>
        <w:t>（二）“三公”经费财政拨款支出决算具体情况说明。</w:t>
      </w:r>
    </w:p>
    <w:p>
      <w:pPr>
        <w:pStyle w:val="7"/>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2018年度“三公”经费财政拨款支出决算中，因公出国（境）费支出决算0.00万元，占0.00%，完成预算的0.00%；公务用车购置及运行费支出决算38.14万元，占55.25%，完成预算的47.7%；公务接待费支出决算30.89万元，占44.75%，完成预算的78.81%。具体情况如下：</w:t>
      </w:r>
    </w:p>
    <w:p>
      <w:pPr>
        <w:pStyle w:val="14"/>
        <w:shd w:val="clear" w:color="auto" w:fill="FFFFFF"/>
        <w:autoSpaceDN w:val="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1.因公出国（境）费年初预算为0.00万元，支出决算为0.00万元，完成年初预算的 0.00%。全年因公出国（境）团组 0个，累计0人次。</w:t>
      </w:r>
    </w:p>
    <w:p>
      <w:pPr>
        <w:pStyle w:val="14"/>
        <w:shd w:val="clear" w:color="auto" w:fill="FFFFFF"/>
        <w:autoSpaceDN w:val="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2.公务用车购置及运行费年初预算为79.95万元，支出决算为38.14万元，完成年初预算的 47.70%。决算数与年初预算数存在差异的主要原因是贯彻执行中央八项规定和厉行节约的工作要求，严格规范公务用车运行。其中：</w:t>
      </w:r>
    </w:p>
    <w:p>
      <w:pPr>
        <w:pStyle w:val="14"/>
        <w:shd w:val="clear" w:color="auto" w:fill="FFFFFF"/>
        <w:autoSpaceDN w:val="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公务用车购置支出为0.00万元，购置车辆0辆。</w:t>
      </w:r>
    </w:p>
    <w:p>
      <w:pPr>
        <w:pStyle w:val="14"/>
        <w:shd w:val="clear" w:color="auto" w:fill="FFFFFF"/>
        <w:autoSpaceDN w:val="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公务用车运行支出38.14万元。主要用于开展工作而产生的燃油费、路桥费、车辆修理费等。2018年期末账面部门开支财政拨款的公务用车保有量为18辆。</w:t>
      </w:r>
    </w:p>
    <w:p>
      <w:pPr>
        <w:pStyle w:val="14"/>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公务接待费年初预算为39.20万元，支出决算为30.89万元，完成年初预算的78.81%。决算数与年初预算数存在差异的主要原因是严格按照中央八项规定规范公务接待标准。其中：外宾接待支出0万元。2018年共接待国（境）外来访团组0个、来访外宾0人次（不包括陪同人员）。其他国内公务接待支出30.89万元。主要用于</w:t>
      </w:r>
      <w:r>
        <w:rPr>
          <w:rFonts w:hint="eastAsia" w:ascii="仿宋_GB2312" w:eastAsia="仿宋_GB2312" w:cs="仿宋_GB2312"/>
          <w:sz w:val="32"/>
          <w:szCs w:val="32"/>
          <w:shd w:val="clear" w:color="auto" w:fill="FFFFFF"/>
        </w:rPr>
        <w:t>一是国内相关单位交流工作情况接待；二是接受相关部门检查指导工作接待；三是公务员面试、</w:t>
      </w:r>
      <w:r>
        <w:rPr>
          <w:rFonts w:hint="eastAsia" w:ascii="仿宋_GB2312" w:eastAsia="仿宋_GB2312" w:cs="仿宋_GB2312"/>
          <w:sz w:val="32"/>
          <w:szCs w:val="32"/>
        </w:rPr>
        <w:t>政府购岗面试和职称评审</w:t>
      </w:r>
      <w:r>
        <w:rPr>
          <w:rFonts w:hint="eastAsia" w:ascii="仿宋_GB2312" w:eastAsia="仿宋_GB2312" w:cs="仿宋_GB2312"/>
          <w:sz w:val="32"/>
          <w:szCs w:val="32"/>
          <w:shd w:val="clear" w:color="auto" w:fill="FFFFFF"/>
        </w:rPr>
        <w:t>等工作面试考官及评审人员接待</w:t>
      </w:r>
      <w:r>
        <w:rPr>
          <w:rFonts w:hint="eastAsia" w:ascii="仿宋_GB2312" w:hAnsi="仿宋_GB2312" w:eastAsia="仿宋_GB2312" w:cs="仿宋_GB2312"/>
          <w:sz w:val="32"/>
          <w:szCs w:val="32"/>
          <w:shd w:val="clear" w:color="auto" w:fill="FFFFFF"/>
        </w:rPr>
        <w:t>。</w:t>
      </w:r>
      <w:r>
        <w:rPr>
          <w:rFonts w:hint="eastAsia" w:ascii="仿宋" w:hAnsi="仿宋" w:eastAsia="仿宋" w:cs="仿宋"/>
          <w:sz w:val="32"/>
          <w:szCs w:val="32"/>
          <w:shd w:val="clear" w:color="auto" w:fill="FFFFFF"/>
        </w:rPr>
        <w:t>2018年共接待国内来访团组180个、来宾1646人次（不包括陪同人员）。</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八、预算绩效情况说明</w:t>
      </w:r>
    </w:p>
    <w:p>
      <w:pPr>
        <w:pStyle w:val="7"/>
        <w:shd w:val="clear" w:color="auto" w:fill="FFFFFF"/>
        <w:spacing w:beforeAutospacing="0" w:afterAutospacing="0" w:line="600" w:lineRule="exact"/>
        <w:ind w:firstLine="640" w:firstLineChars="200"/>
        <w:jc w:val="both"/>
        <w:rPr>
          <w:sz w:val="32"/>
          <w:szCs w:val="32"/>
        </w:rPr>
      </w:pPr>
      <w:r>
        <w:rPr>
          <w:rFonts w:hint="eastAsia" w:ascii="楷体_GB2312" w:hAnsi="楷体_GB2312" w:eastAsia="楷体_GB2312" w:cs="楷体_GB2312"/>
          <w:sz w:val="32"/>
          <w:szCs w:val="32"/>
          <w:shd w:val="clear" w:color="auto" w:fill="FFFFFF"/>
        </w:rPr>
        <w:t>（一）绩效管理工作开展情况。</w:t>
      </w:r>
    </w:p>
    <w:p>
      <w:pPr>
        <w:pStyle w:val="14"/>
        <w:ind w:firstLine="640"/>
        <w:rPr>
          <w:rFonts w:ascii="仿宋_GB2312" w:eastAsia="仿宋_GB2312"/>
          <w:sz w:val="32"/>
          <w:szCs w:val="32"/>
        </w:rPr>
      </w:pPr>
      <w:r>
        <w:rPr>
          <w:rFonts w:hint="eastAsia" w:ascii="仿宋_GB2312" w:eastAsia="仿宋_GB2312" w:cs="仿宋_GB2312"/>
          <w:sz w:val="32"/>
          <w:szCs w:val="32"/>
          <w:shd w:val="clear" w:color="auto" w:fill="FFFFFF"/>
        </w:rPr>
        <w:t>根据预算绩效管理要求，河南省平顶山市人力资源和社会保障局对2018年一般公共预算项目支出全面开展绩效自评。其中二级项目16个，涉及预算资金3123.23万元，</w:t>
      </w:r>
      <w:r>
        <w:rPr>
          <w:rFonts w:hint="eastAsia" w:ascii="仿宋_GB2312" w:eastAsia="仿宋_GB2312" w:cs="仿宋_GB2312"/>
          <w:sz w:val="32"/>
          <w:szCs w:val="32"/>
        </w:rPr>
        <w:t>自评覆盖率达到</w:t>
      </w:r>
      <w:r>
        <w:rPr>
          <w:rFonts w:ascii="仿宋_GB2312" w:eastAsia="仿宋_GB2312" w:cs="仿宋_GB2312"/>
          <w:sz w:val="32"/>
          <w:szCs w:val="32"/>
        </w:rPr>
        <w:t>100%</w:t>
      </w:r>
      <w:r>
        <w:rPr>
          <w:rFonts w:hint="eastAsia" w:ascii="仿宋_GB2312" w:eastAsia="仿宋_GB2312" w:cs="仿宋_GB2312"/>
          <w:sz w:val="32"/>
          <w:szCs w:val="32"/>
        </w:rPr>
        <w:t>。</w:t>
      </w:r>
    </w:p>
    <w:p>
      <w:pPr>
        <w:pStyle w:val="14"/>
        <w:ind w:firstLine="640" w:firstLineChars="20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从评价情况来看，项目预算执行较为及时，绩效目标得</w:t>
      </w:r>
    </w:p>
    <w:p>
      <w:pPr>
        <w:pStyle w:val="7"/>
        <w:shd w:val="clear" w:color="auto" w:fill="FFFFFF"/>
        <w:spacing w:beforeAutospacing="0" w:afterAutospacing="0" w:line="600" w:lineRule="exact"/>
        <w:jc w:val="both"/>
        <w:rPr>
          <w:rFonts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rPr>
        <w:t>到较好实现，绩效管理水平不断提高。</w:t>
      </w:r>
    </w:p>
    <w:p>
      <w:pPr>
        <w:pStyle w:val="7"/>
        <w:shd w:val="clear" w:color="auto" w:fill="FFFFFF"/>
        <w:spacing w:beforeAutospacing="0" w:afterAutospacing="0" w:line="600" w:lineRule="exact"/>
        <w:ind w:firstLine="640" w:firstLineChars="200"/>
        <w:jc w:val="both"/>
        <w:rPr>
          <w:rFonts w:ascii="楷体_GB2312" w:hAnsi="宋体" w:eastAsia="楷体_GB2312" w:cs="黑体"/>
          <w:sz w:val="32"/>
          <w:szCs w:val="32"/>
          <w:shd w:val="clear" w:color="auto" w:fill="FFFFFF"/>
        </w:rPr>
      </w:pPr>
      <w:r>
        <w:rPr>
          <w:rFonts w:hint="eastAsia" w:ascii="楷体_GB2312" w:hAnsi="宋体" w:eastAsia="楷体_GB2312" w:cs="黑体"/>
          <w:sz w:val="32"/>
          <w:szCs w:val="32"/>
          <w:shd w:val="clear" w:color="auto" w:fill="FFFFFF"/>
        </w:rPr>
        <w:t>（二）项目绩效自评结果。</w:t>
      </w:r>
    </w:p>
    <w:p>
      <w:pPr>
        <w:pStyle w:val="14"/>
        <w:ind w:firstLine="640" w:firstLineChars="200"/>
        <w:rPr>
          <w:rFonts w:ascii="仿宋_GB2312" w:eastAsia="仿宋_GB2312"/>
          <w:sz w:val="32"/>
          <w:szCs w:val="32"/>
        </w:rPr>
      </w:pPr>
      <w:r>
        <w:rPr>
          <w:rFonts w:hint="eastAsia" w:ascii="仿宋_GB2312" w:eastAsia="仿宋_GB2312" w:cs="仿宋_GB2312"/>
          <w:sz w:val="32"/>
          <w:szCs w:val="32"/>
        </w:rPr>
        <w:t>通过对2018年</w:t>
      </w:r>
      <w:r>
        <w:rPr>
          <w:rFonts w:hint="eastAsia" w:ascii="仿宋" w:hAnsi="仿宋" w:eastAsia="仿宋" w:cs="仿宋"/>
          <w:bCs/>
          <w:sz w:val="32"/>
        </w:rPr>
        <w:t>金保工程统一软件运维和数据中心机房硬件运维经费</w:t>
      </w:r>
      <w:r>
        <w:rPr>
          <w:rFonts w:hint="eastAsia" w:ascii="仿宋_GB2312" w:eastAsia="仿宋_GB2312" w:cs="仿宋_GB2312"/>
          <w:sz w:val="32"/>
          <w:szCs w:val="32"/>
        </w:rPr>
        <w:t>的管理使用情况，进行绩效评价，了解、分析、检验项目是否达到预期目标，资金使用是否规范有效，为今后工作提供依据，进一步提高资金使用效益。</w:t>
      </w:r>
    </w:p>
    <w:p>
      <w:pPr>
        <w:pStyle w:val="14"/>
        <w:ind w:firstLine="640"/>
        <w:rPr>
          <w:rFonts w:ascii="楷体_GB2312" w:hAnsi="楷体_GB2312" w:eastAsia="楷体_GB2312"/>
          <w:sz w:val="32"/>
          <w:szCs w:val="32"/>
        </w:rPr>
      </w:pPr>
      <w:r>
        <w:rPr>
          <w:rFonts w:ascii="仿宋_GB2312" w:eastAsia="仿宋_GB2312" w:cs="仿宋_GB2312"/>
          <w:sz w:val="32"/>
          <w:szCs w:val="32"/>
        </w:rPr>
        <w:t>1.</w:t>
      </w:r>
      <w:r>
        <w:rPr>
          <w:rFonts w:hint="eastAsia" w:ascii="楷体_GB2312" w:hAnsi="楷体_GB2312" w:eastAsia="楷体_GB2312" w:cs="楷体_GB2312"/>
          <w:sz w:val="32"/>
          <w:szCs w:val="32"/>
        </w:rPr>
        <w:t>项目主要内容</w:t>
      </w:r>
    </w:p>
    <w:p>
      <w:pPr>
        <w:ind w:firstLine="640" w:firstLineChars="200"/>
        <w:rPr>
          <w:rFonts w:ascii="仿宋" w:hAnsi="仿宋" w:eastAsia="仿宋" w:cs="仿宋"/>
          <w:sz w:val="32"/>
          <w:szCs w:val="32"/>
        </w:rPr>
      </w:pPr>
      <w:r>
        <w:rPr>
          <w:rFonts w:hint="eastAsia" w:ascii="仿宋" w:hAnsi="仿宋" w:eastAsia="仿宋" w:cs="仿宋"/>
          <w:sz w:val="32"/>
          <w:szCs w:val="32"/>
        </w:rPr>
        <w:t>数据中心机房承载全市的养老、失业、医疗、生育、工伤五个险种的系统运行和数据存储，以及就业系统、新农保系统、报名系统、公务员网络培训系统、市场信息化系统、办公自动化系统的运行，软硬件设备维保服务包含对小型机、存储、服务器、网络设备等提供日常维护、故障处理、备件、备机保障、固件升级、技术培训等技术服务和对数据库、中间件、操作系统提供日常维护、性能监控、性能调优、版本升级、数据迁移、数据整合等技术服务。</w:t>
      </w:r>
    </w:p>
    <w:p>
      <w:pPr>
        <w:ind w:firstLine="640" w:firstLineChars="200"/>
        <w:rPr>
          <w:rFonts w:ascii="仿宋" w:hAnsi="仿宋" w:eastAsia="仿宋" w:cs="仿宋"/>
          <w:sz w:val="32"/>
          <w:szCs w:val="32"/>
        </w:rPr>
      </w:pPr>
      <w:r>
        <w:rPr>
          <w:rFonts w:hint="eastAsia" w:ascii="仿宋" w:hAnsi="仿宋" w:eastAsia="仿宋" w:cs="仿宋"/>
          <w:sz w:val="32"/>
          <w:szCs w:val="32"/>
        </w:rPr>
        <w:t>金保工程统一软件由省人社厅组织开发，支撑养老、医疗、工伤、生育、失业等各项社会保险参保登记、保费征收、待遇支付等重要业务办理，为全市参保人员提供参保登记和享受待遇的技术服务。统一软件维护包括各项社会保险业务经办、需求管理、系统性能监控及优化、数据维护、各类接口服务、业务经办人员及系统管理员培训、系统升级部署等。</w:t>
      </w:r>
    </w:p>
    <w:p>
      <w:pPr>
        <w:widowControl/>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2.项目资金使用及管理情况</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（一）项目投入安排落实等情况分析</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我局于2018年8月6日向平顶山市人民政府提交了《平顶山市人力资源和社会保障局关于申请金保工程统一软件运维和数据中心机房软硬件运维所需资金的请示》，根据上一年度的合同金额，申请金保工程统一软件运维费72万元，数据中心机房软硬件运维费70万元，两项费用共计142万元。财政局批复110万元。</w:t>
      </w:r>
    </w:p>
    <w:p>
      <w:pPr>
        <w:widowControl/>
        <w:ind w:firstLine="640" w:firstLineChars="200"/>
        <w:jc w:val="left"/>
        <w:rPr>
          <w:rFonts w:ascii="仿宋_GB2312" w:eastAsia="仿宋_GB2312"/>
          <w:sz w:val="32"/>
          <w:szCs w:val="32"/>
        </w:rPr>
      </w:pPr>
      <w:r>
        <w:rPr>
          <w:rFonts w:hint="eastAsia" w:ascii="仿宋" w:hAnsi="仿宋" w:eastAsia="仿宋" w:cs="仿宋"/>
          <w:sz w:val="32"/>
          <w:szCs w:val="32"/>
        </w:rPr>
        <w:t>（二）财政资金实际使</w:t>
      </w:r>
      <w:r>
        <w:rPr>
          <w:rFonts w:hint="eastAsia" w:ascii="仿宋_GB2312" w:eastAsia="仿宋_GB2312"/>
          <w:sz w:val="32"/>
          <w:szCs w:val="32"/>
        </w:rPr>
        <w:t>用情况分析</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金保工程统一软件运维项目：合同总金额670000元，维护时间2018年5月31日至2019年5月30日，2018年12月支付合同总价款的95%，即636500元，服务期满后支付合同总价款的5%，即33500元。</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数据中心机房软硬件运维项目：合同总金额668000元，维护时间2018年10月17日至2019年10月17日，2018年11月支付合同总价款的50%，即334000元，服务期满后支付合同总价款的50%，即334000元。</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(三)项目资金管理情况</w:t>
      </w:r>
    </w:p>
    <w:p>
      <w:pPr>
        <w:widowControl/>
        <w:ind w:firstLine="640"/>
        <w:rPr>
          <w:rFonts w:ascii="仿宋" w:hAnsi="仿宋" w:eastAsia="仿宋" w:cs="仿宋"/>
          <w:kern w:val="0"/>
          <w:sz w:val="32"/>
          <w:szCs w:val="32"/>
        </w:rPr>
      </w:pPr>
      <w:r>
        <w:rPr>
          <w:rFonts w:hint="eastAsia" w:ascii="仿宋" w:hAnsi="仿宋" w:eastAsia="仿宋" w:cs="仿宋"/>
          <w:kern w:val="0"/>
          <w:sz w:val="32"/>
          <w:szCs w:val="32"/>
        </w:rPr>
        <w:t>根据《预算法》和我局《机关财务管理制度》，我局收到该项资金后，记入财政拨款—项目支出拨款科目，单独核算，专款专用。在支付时，根据信息中心提供的合同严格与发票对照支付该项资金。</w:t>
      </w:r>
    </w:p>
    <w:p>
      <w:pPr>
        <w:widowControl/>
        <w:ind w:firstLine="640" w:firstLineChars="200"/>
        <w:rPr>
          <w:rFonts w:ascii="楷体" w:hAnsi="楷体" w:eastAsia="楷体" w:cs="楷体"/>
          <w:kern w:val="0"/>
          <w:sz w:val="32"/>
          <w:szCs w:val="32"/>
        </w:rPr>
      </w:pPr>
      <w:r>
        <w:rPr>
          <w:rFonts w:hint="eastAsia" w:ascii="楷体" w:hAnsi="楷体" w:eastAsia="楷体" w:cs="楷体"/>
          <w:kern w:val="0"/>
          <w:sz w:val="32"/>
          <w:szCs w:val="32"/>
        </w:rPr>
        <w:t>3.项目组织实施情况</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（一）项目组织情况</w:t>
      </w:r>
    </w:p>
    <w:p>
      <w:pPr>
        <w:pStyle w:val="14"/>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根据合同法相关规定，上一年度合同到期后，由我局组织技术专家对年度维保服务进行验收，若验收通过，则下一年度服务合同自动生效。因此金保工程</w:t>
      </w:r>
      <w:r>
        <w:rPr>
          <w:rFonts w:hint="eastAsia" w:ascii="仿宋" w:hAnsi="仿宋" w:eastAsia="仿宋" w:cs="仿宋"/>
          <w:sz w:val="32"/>
          <w:szCs w:val="32"/>
        </w:rPr>
        <w:t xml:space="preserve">统一软件运维项目和数据中心机房软硬件运维项目均为续签合同。                                                                                                                                                                                                                                                                                                                                                                                                                                                                                                                                                                                                                                                                                                                                                                                                                                                                                                                                                                                                                                                                                                                                                                                                                                                                                                                                                                                                                                                                                                                                                                                                                                                                                                                                                                                                                                                                                                                                                                                                                                                                                                                                                                                                                                                                                                                                                                                                                                                                                                                                                                                                                                                                                                                                                                                                                                                                                                                                                                                                                                                                                                                                                                                                                                                                                                                                                                                                                                                                                                                                                                                                                                                                                                                                                                                                                                                                                                                                                                                                                                                                                                                                                                                   </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金保工程统一软件运维项目：合同总金额670000元，维护时间2018年5月31日至2019年5月30日，2018年12月支付合同总价款的95%，即636500元，服务期满后支付合同总价款的5%，即33500元。</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数据中心机房软硬件运维项目：合同总金额668000元，维护时间2018年10月17日至2019年10月17日，2018年11月支付合同总价款的50%，即334000元，服务期满后支付合同总价款的50%，即334000元。</w:t>
      </w:r>
    </w:p>
    <w:p>
      <w:pPr>
        <w:widowControl/>
        <w:ind w:firstLine="640"/>
        <w:jc w:val="left"/>
        <w:rPr>
          <w:rFonts w:ascii="仿宋" w:hAnsi="仿宋" w:eastAsia="仿宋" w:cs="仿宋"/>
          <w:kern w:val="0"/>
          <w:sz w:val="32"/>
          <w:szCs w:val="32"/>
        </w:rPr>
      </w:pPr>
      <w:r>
        <w:rPr>
          <w:rFonts w:hint="eastAsia" w:ascii="仿宋" w:hAnsi="仿宋" w:eastAsia="仿宋" w:cs="仿宋"/>
          <w:color w:val="000000"/>
          <w:kern w:val="0"/>
          <w:sz w:val="32"/>
          <w:szCs w:val="32"/>
        </w:rPr>
        <w:t>（二）项目管理情况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金保工程统一软件运维项目：在维护期限内，乙方提供工程师常驻现场进行维护服务。服务人员为甲方提供5×8小时驻场服务，7×24小时电话值班服务，确保工作时间内人员实时响应，保证系统的正常运行。</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数据中心机房软硬件运维项目：提供7×24小时紧急故障处理服务，随时解决甲方数据中心机房软硬件设备出现的任何故障，保证甲方核心业务系统的稳定运行。</w:t>
      </w:r>
    </w:p>
    <w:p>
      <w:pPr>
        <w:widowControl/>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（三）项目绩效情况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金保工程统一软件运维项目已于2019年5月30日服务期满，服务期间，驻场工程师能够按照合同要求，服务良好，</w:t>
      </w:r>
      <w:r>
        <w:rPr>
          <w:rFonts w:hint="eastAsia" w:ascii="Arial" w:hAnsi="Arial" w:eastAsia="仿宋" w:cs="Arial"/>
          <w:kern w:val="0"/>
          <w:sz w:val="32"/>
          <w:szCs w:val="32"/>
        </w:rPr>
        <w:t>保证系统的正常运行。</w:t>
      </w:r>
      <w:r>
        <w:rPr>
          <w:rFonts w:hint="eastAsia" w:ascii="仿宋" w:hAnsi="仿宋" w:eastAsia="仿宋" w:cs="仿宋"/>
          <w:kern w:val="0"/>
          <w:sz w:val="32"/>
          <w:szCs w:val="32"/>
        </w:rPr>
        <w:t>合同总价款的5%尾款，即33500元将于近期支付。</w:t>
      </w:r>
    </w:p>
    <w:p>
      <w:pPr>
        <w:widowControl/>
        <w:ind w:firstLine="640"/>
        <w:jc w:val="left"/>
        <w:rPr>
          <w:rFonts w:ascii="仿宋" w:hAnsi="仿宋" w:eastAsia="仿宋" w:cs="仿宋"/>
          <w:kern w:val="0"/>
          <w:sz w:val="32"/>
          <w:szCs w:val="32"/>
        </w:rPr>
      </w:pPr>
      <w:r>
        <w:rPr>
          <w:rFonts w:hint="eastAsia" w:ascii="仿宋" w:hAnsi="仿宋" w:eastAsia="仿宋" w:cs="仿宋"/>
          <w:kern w:val="0"/>
          <w:sz w:val="32"/>
          <w:szCs w:val="32"/>
        </w:rPr>
        <w:t>数据中心机房软硬件运维项目将于2019年10月17日服务期满，服务期间，乙方对数据中心机房内的小型机、存储、服务器、网络设备等提供日常维护、故障处理、备机保障、估件升级、技术培训等服务，对数据库、中间件、操作系统提供日常维护、性能监控、性能调优、版本升级、数据迁移、数据整合等技术服务，能够随时解决数据中心机房软硬件设备出现的任何故障，保证核心业务系统的稳定运行。合同总价款的50%，即334000元，将于服务期满后，专家验收合格后支付。</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九、政府性基金预算财政拨款支出决算情况说明</w:t>
      </w:r>
    </w:p>
    <w:p>
      <w:pPr>
        <w:pStyle w:val="7"/>
        <w:widowControl/>
        <w:spacing w:beforeAutospacing="0" w:afterAutospacing="0" w:line="600" w:lineRule="exact"/>
        <w:ind w:firstLine="640" w:firstLineChars="200"/>
        <w:jc w:val="both"/>
        <w:rPr>
          <w:sz w:val="32"/>
          <w:szCs w:val="32"/>
        </w:rPr>
      </w:pPr>
      <w:r>
        <w:rPr>
          <w:rFonts w:hint="eastAsia" w:ascii="仿宋_GB2312" w:hAnsi="仿宋_GB2312" w:eastAsia="仿宋_GB2312" w:cs="仿宋_GB2312"/>
          <w:sz w:val="32"/>
          <w:szCs w:val="32"/>
          <w:shd w:val="clear" w:color="auto" w:fill="FFFFFF"/>
        </w:rPr>
        <w:t>2018年度政府性基金预算财政拨款支出年初预算为0.00万元，支出决算为0.00万元，完成年初预算的0.00%。</w:t>
      </w:r>
      <w:r>
        <w:rPr>
          <w:rFonts w:hint="eastAsia" w:ascii="仿宋_GB2312" w:eastAsia="仿宋_GB2312" w:cs="仿宋_GB2312"/>
          <w:sz w:val="32"/>
          <w:szCs w:val="32"/>
          <w:shd w:val="clear" w:color="auto" w:fill="FFFFFF"/>
        </w:rPr>
        <w:t>主要原因：我局没有使用政府性基金预算财政拨款安排的支出。</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十、机关运行经费支出情况说明</w:t>
      </w:r>
    </w:p>
    <w:p>
      <w:pPr>
        <w:pStyle w:val="7"/>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2018年度机关运行经费初预算为697.15万元，支出决算为697.15万元，完成年初预算的100%。</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十一、政府采购支出情况说明</w:t>
      </w:r>
    </w:p>
    <w:p>
      <w:pPr>
        <w:pStyle w:val="7"/>
        <w:shd w:val="clear" w:color="auto" w:fill="FFFFFF"/>
        <w:spacing w:beforeAutospacing="0" w:afterAutospacing="0" w:line="600" w:lineRule="exact"/>
        <w:ind w:firstLine="640" w:firstLineChars="200"/>
        <w:jc w:val="both"/>
        <w:rPr>
          <w:rFonts w:ascii="仿宋" w:hAnsi="仿宋" w:eastAsia="仿宋" w:cs="仿宋"/>
          <w:color w:val="C00000"/>
          <w:sz w:val="32"/>
          <w:szCs w:val="32"/>
          <w:shd w:val="clear" w:color="auto" w:fill="FFFFFF"/>
        </w:rPr>
      </w:pPr>
      <w:r>
        <w:rPr>
          <w:rFonts w:hint="eastAsia" w:ascii="仿宋" w:hAnsi="仿宋" w:eastAsia="仿宋" w:cs="仿宋"/>
          <w:sz w:val="32"/>
          <w:szCs w:val="32"/>
          <w:shd w:val="clear" w:color="auto" w:fill="FFFFFF"/>
        </w:rPr>
        <w:t>2018年度政府采购支出总额178.53万元，其中：政府采购货物支出97.12万元，政府采购工程支出81.41万元，政府采购服务支出0.00万元。</w:t>
      </w:r>
      <w:r>
        <w:rPr>
          <w:rFonts w:hint="eastAsia" w:ascii="仿宋" w:hAnsi="仿宋" w:eastAsia="仿宋" w:cs="仿宋"/>
          <w:color w:val="000000" w:themeColor="text1"/>
          <w:sz w:val="32"/>
          <w:szCs w:val="32"/>
          <w:shd w:val="clear" w:color="auto" w:fill="FFFFFF"/>
        </w:rPr>
        <w:t>授予中小企业合同金额</w:t>
      </w:r>
      <w:r>
        <w:rPr>
          <w:rFonts w:hint="eastAsia" w:ascii="仿宋" w:hAnsi="仿宋" w:eastAsia="仿宋" w:cs="仿宋"/>
          <w:color w:val="000000" w:themeColor="text1"/>
          <w:sz w:val="32"/>
          <w:szCs w:val="32"/>
          <w:shd w:val="clear" w:color="auto" w:fill="FFFFFF"/>
          <w:lang w:val="en-US" w:eastAsia="zh-CN"/>
        </w:rPr>
        <w:t>178.53</w:t>
      </w:r>
      <w:r>
        <w:rPr>
          <w:rFonts w:hint="eastAsia" w:ascii="仿宋" w:hAnsi="仿宋" w:eastAsia="仿宋" w:cs="仿宋"/>
          <w:color w:val="000000" w:themeColor="text1"/>
          <w:sz w:val="32"/>
          <w:szCs w:val="32"/>
          <w:shd w:val="clear" w:color="auto" w:fill="FFFFFF"/>
        </w:rPr>
        <w:t>万元，占政府采购支出总额的</w:t>
      </w:r>
      <w:r>
        <w:rPr>
          <w:rFonts w:hint="eastAsia" w:ascii="仿宋" w:hAnsi="仿宋" w:eastAsia="仿宋" w:cs="仿宋"/>
          <w:color w:val="000000" w:themeColor="text1"/>
          <w:sz w:val="32"/>
          <w:szCs w:val="32"/>
          <w:shd w:val="clear" w:color="auto" w:fill="FFFFFF"/>
          <w:lang w:val="en-US" w:eastAsia="zh-CN"/>
        </w:rPr>
        <w:t>100</w:t>
      </w:r>
      <w:r>
        <w:rPr>
          <w:rFonts w:hint="eastAsia" w:ascii="仿宋" w:hAnsi="仿宋" w:eastAsia="仿宋" w:cs="仿宋"/>
          <w:color w:val="000000" w:themeColor="text1"/>
          <w:sz w:val="32"/>
          <w:szCs w:val="32"/>
          <w:shd w:val="clear" w:color="auto" w:fill="FFFFFF"/>
        </w:rPr>
        <w:t>%，其中：授予小微企业合同金额</w:t>
      </w:r>
      <w:r>
        <w:rPr>
          <w:rFonts w:hint="eastAsia" w:ascii="仿宋" w:hAnsi="仿宋" w:eastAsia="仿宋" w:cs="仿宋"/>
          <w:color w:val="000000" w:themeColor="text1"/>
          <w:sz w:val="32"/>
          <w:szCs w:val="32"/>
          <w:shd w:val="clear" w:color="auto" w:fill="FFFFFF"/>
          <w:lang w:val="en-US" w:eastAsia="zh-CN"/>
        </w:rPr>
        <w:t>34.07</w:t>
      </w:r>
      <w:r>
        <w:rPr>
          <w:rFonts w:hint="eastAsia" w:ascii="仿宋" w:hAnsi="仿宋" w:eastAsia="仿宋" w:cs="仿宋"/>
          <w:color w:val="000000" w:themeColor="text1"/>
          <w:sz w:val="32"/>
          <w:szCs w:val="32"/>
          <w:shd w:val="clear" w:color="auto" w:fill="FFFFFF"/>
        </w:rPr>
        <w:t>万元，占政府采购支出总额的</w:t>
      </w:r>
      <w:r>
        <w:rPr>
          <w:rFonts w:hint="eastAsia" w:ascii="仿宋" w:hAnsi="仿宋" w:eastAsia="仿宋" w:cs="仿宋"/>
          <w:color w:val="000000" w:themeColor="text1"/>
          <w:sz w:val="32"/>
          <w:szCs w:val="32"/>
          <w:shd w:val="clear" w:color="auto" w:fill="FFFFFF"/>
          <w:lang w:val="en-US" w:eastAsia="zh-CN"/>
        </w:rPr>
        <w:t>19.08</w:t>
      </w:r>
      <w:r>
        <w:rPr>
          <w:rFonts w:hint="eastAsia" w:ascii="仿宋" w:hAnsi="仿宋" w:eastAsia="仿宋" w:cs="仿宋"/>
          <w:color w:val="000000" w:themeColor="text1"/>
          <w:sz w:val="32"/>
          <w:szCs w:val="32"/>
          <w:shd w:val="clear" w:color="auto" w:fill="FFFFFF"/>
        </w:rPr>
        <w:t>%。</w:t>
      </w:r>
    </w:p>
    <w:p>
      <w:pPr>
        <w:pStyle w:val="7"/>
        <w:shd w:val="clear" w:color="auto" w:fill="FFFFFF"/>
        <w:spacing w:beforeAutospacing="0" w:afterAutospacing="0" w:line="600" w:lineRule="exact"/>
        <w:ind w:firstLine="640" w:firstLineChars="200"/>
        <w:jc w:val="both"/>
        <w:rPr>
          <w:sz w:val="32"/>
          <w:szCs w:val="32"/>
        </w:rPr>
      </w:pPr>
      <w:r>
        <w:rPr>
          <w:rFonts w:hint="eastAsia" w:ascii="黑体" w:hAnsi="宋体" w:eastAsia="黑体" w:cs="黑体"/>
          <w:sz w:val="32"/>
          <w:szCs w:val="32"/>
          <w:shd w:val="clear" w:color="auto" w:fill="FFFFFF"/>
        </w:rPr>
        <w:t>十二、国有资产占用情况说明</w:t>
      </w:r>
    </w:p>
    <w:p>
      <w:pPr>
        <w:pStyle w:val="14"/>
        <w:shd w:val="clear" w:color="auto" w:fill="FFFFFF"/>
        <w:autoSpaceDN w:val="0"/>
        <w:ind w:firstLine="640" w:firstLineChars="200"/>
        <w:jc w:val="both"/>
        <w:rPr>
          <w:rFonts w:ascii="宋体" w:hAnsi="宋体" w:cs="宋体"/>
          <w:sz w:val="24"/>
          <w:szCs w:val="24"/>
          <w:shd w:val="clear" w:color="auto" w:fill="FFFFFF"/>
        </w:rPr>
      </w:pPr>
      <w:r>
        <w:rPr>
          <w:rFonts w:hint="eastAsia" w:ascii="仿宋" w:hAnsi="仿宋" w:eastAsia="仿宋" w:cs="仿宋"/>
          <w:color w:val="000000" w:themeColor="text1"/>
          <w:sz w:val="32"/>
          <w:szCs w:val="32"/>
          <w:shd w:val="clear" w:color="auto" w:fill="FFFFFF"/>
        </w:rPr>
        <w:t>2018年期末，我部门账面共有车辆18辆，其中：机要通信用车7辆、特种专业技术用车1辆、其他用车10辆；单位价值50万元以上通用设备1台（套），单位价值100万元以上专用设备0台（套）。</w:t>
      </w:r>
    </w:p>
    <w:p>
      <w:pPr>
        <w:pStyle w:val="7"/>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jc w:val="both"/>
        <w:outlineLvl w:val="0"/>
        <w:rPr>
          <w:rFonts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spacing w:beforeLines="100"/>
        <w:jc w:val="center"/>
        <w:outlineLvl w:val="0"/>
        <w:rPr>
          <w:rFonts w:ascii="黑体" w:hAnsi="黑体" w:eastAsia="黑体" w:cs="黑体"/>
          <w:sz w:val="48"/>
          <w:szCs w:val="48"/>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spacing w:beforeLines="100"/>
        <w:rPr>
          <w:rFonts w:ascii="黑体" w:hAnsi="黑体" w:eastAsia="黑体" w:cs="黑体"/>
          <w:color w:val="000000" w:themeColor="text1"/>
          <w:sz w:val="32"/>
          <w:szCs w:val="32"/>
          <w:shd w:val="clear" w:color="auto" w:fill="FFFFFF"/>
        </w:rPr>
      </w:pPr>
    </w:p>
    <w:p>
      <w:pPr>
        <w:pStyle w:val="7"/>
        <w:widowControl/>
        <w:spacing w:beforeAutospacing="0" w:afterAutospacing="0" w:line="360" w:lineRule="auto"/>
        <w:rPr>
          <w:rStyle w:val="10"/>
          <w:rFonts w:ascii="仿宋_GB2312" w:hAnsi="仿宋_GB2312" w:eastAsia="仿宋_GB2312" w:cs="仿宋_GB2312"/>
          <w:b w:val="0"/>
          <w:bCs/>
          <w:color w:val="666666"/>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一、财政拨款收入：指省级财政当年拨付的资金。</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二、事业收入：指事业单位开展专业业务活动及辅助活动所取得的收入。</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三、绩效收入：事业单位工作人员的绩效工资。</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四、其他收入：指本部门取得的除“财政拨款收入”、“事业收入”、“经营收入”等以外的收入。</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五、年末结转和结余：指本年度或以前年度预算安排、因客观条件发生变化无法按原计划实施，需延迟到以后年度按有关规定继续使用的资金。</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eastAsia="仿宋_GB2312"/>
          <w:sz w:val="32"/>
          <w:szCs w:val="32"/>
        </w:rPr>
        <w:t>六、基本支出：</w:t>
      </w:r>
      <w:r>
        <w:rPr>
          <w:rFonts w:hint="eastAsia" w:ascii="仿宋_GB2312" w:hAnsi="仿宋_GB2312" w:eastAsia="仿宋_GB2312" w:cs="仿宋_GB2312"/>
          <w:sz w:val="32"/>
          <w:szCs w:val="32"/>
          <w:shd w:val="clear" w:color="auto" w:fill="FFFFFF"/>
        </w:rPr>
        <w:t>指为保障机构正常运转、完成日常工作任务而发生的人员支出和公用支出。</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eastAsia="仿宋_GB2312"/>
          <w:sz w:val="32"/>
          <w:szCs w:val="32"/>
        </w:rPr>
        <w:t>七、项目支出：</w:t>
      </w:r>
      <w:r>
        <w:rPr>
          <w:rFonts w:hint="eastAsia" w:ascii="仿宋_GB2312" w:hAnsi="仿宋_GB2312" w:eastAsia="仿宋_GB2312" w:cs="仿宋_GB2312"/>
          <w:sz w:val="32"/>
          <w:szCs w:val="32"/>
          <w:shd w:val="clear" w:color="auto" w:fill="FFFFFF"/>
        </w:rPr>
        <w:t>指在基本支出之外为完成特定行政任务和事业发展目标所发生的支出。</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eastAsia="仿宋_GB2312"/>
          <w:sz w:val="32"/>
          <w:szCs w:val="32"/>
        </w:rPr>
        <w:t>八、“三公”经费：</w:t>
      </w:r>
      <w:r>
        <w:rPr>
          <w:rFonts w:hint="eastAsia" w:ascii="仿宋_GB2312" w:hAnsi="仿宋_GB2312" w:eastAsia="仿宋_GB2312" w:cs="仿宋_GB2312"/>
          <w:sz w:val="32"/>
          <w:szCs w:val="32"/>
          <w:shd w:val="clear" w:color="auto" w:fill="FFFFFF"/>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7"/>
        <w:widowControl/>
        <w:spacing w:beforeAutospacing="0" w:afterAutospacing="0" w:line="360" w:lineRule="auto"/>
        <w:ind w:firstLine="645"/>
        <w:rPr>
          <w:rFonts w:ascii="仿宋_GB2312" w:hAnsi="仿宋_GB2312" w:eastAsia="仿宋_GB2312" w:cs="仿宋_GB2312"/>
          <w:sz w:val="32"/>
          <w:szCs w:val="32"/>
          <w:shd w:val="clear" w:color="auto" w:fill="FFFFFF"/>
        </w:rPr>
      </w:pPr>
      <w:r>
        <w:rPr>
          <w:rFonts w:hint="eastAsia" w:ascii="仿宋_GB2312" w:eastAsia="仿宋_GB2312"/>
          <w:sz w:val="32"/>
          <w:szCs w:val="32"/>
        </w:rPr>
        <w:t>九、机关运行经费：</w:t>
      </w:r>
      <w:r>
        <w:rPr>
          <w:rFonts w:hint="eastAsia" w:ascii="仿宋_GB2312" w:hAnsi="仿宋_GB2312" w:eastAsia="仿宋_GB2312" w:cs="仿宋_GB2312"/>
          <w:sz w:val="32"/>
          <w:szCs w:val="32"/>
          <w:shd w:val="clear" w:color="auto"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100"/>
        <w:rPr>
          <w:rFonts w:ascii="黑体" w:hAnsi="黑体" w:eastAsia="黑体" w:cs="黑体"/>
          <w:color w:val="000000" w:themeColor="text1"/>
          <w:sz w:val="32"/>
          <w:szCs w:val="32"/>
          <w:shd w:val="clear" w:color="auto" w:fill="FFFFFF"/>
        </w:rPr>
      </w:pPr>
    </w:p>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78313"/>
    </w:sdtPr>
    <w:sdtContent>
      <w:p>
        <w:pPr>
          <w:pStyle w:val="4"/>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6159"/>
    <w:rsid w:val="0000153D"/>
    <w:rsid w:val="00011F81"/>
    <w:rsid w:val="00013C06"/>
    <w:rsid w:val="00013DCA"/>
    <w:rsid w:val="000456A9"/>
    <w:rsid w:val="0007457F"/>
    <w:rsid w:val="000D644E"/>
    <w:rsid w:val="00110309"/>
    <w:rsid w:val="00122593"/>
    <w:rsid w:val="0012392A"/>
    <w:rsid w:val="00123937"/>
    <w:rsid w:val="00124990"/>
    <w:rsid w:val="001513EC"/>
    <w:rsid w:val="001617BC"/>
    <w:rsid w:val="001744E6"/>
    <w:rsid w:val="00181A2F"/>
    <w:rsid w:val="001E3620"/>
    <w:rsid w:val="001F494B"/>
    <w:rsid w:val="00230012"/>
    <w:rsid w:val="00233FA4"/>
    <w:rsid w:val="00261A2E"/>
    <w:rsid w:val="00270572"/>
    <w:rsid w:val="002852DC"/>
    <w:rsid w:val="002935CC"/>
    <w:rsid w:val="002A38BE"/>
    <w:rsid w:val="002C0A74"/>
    <w:rsid w:val="00335FFE"/>
    <w:rsid w:val="00343CBE"/>
    <w:rsid w:val="00345995"/>
    <w:rsid w:val="003670CE"/>
    <w:rsid w:val="00370EC6"/>
    <w:rsid w:val="004378E0"/>
    <w:rsid w:val="00442B6D"/>
    <w:rsid w:val="00465441"/>
    <w:rsid w:val="004B1F88"/>
    <w:rsid w:val="004B2A52"/>
    <w:rsid w:val="004D2BDA"/>
    <w:rsid w:val="00502347"/>
    <w:rsid w:val="00535837"/>
    <w:rsid w:val="00560132"/>
    <w:rsid w:val="00576C12"/>
    <w:rsid w:val="00577B09"/>
    <w:rsid w:val="005E2605"/>
    <w:rsid w:val="00604783"/>
    <w:rsid w:val="0062797F"/>
    <w:rsid w:val="00633B35"/>
    <w:rsid w:val="006702DD"/>
    <w:rsid w:val="00677B91"/>
    <w:rsid w:val="006D36A6"/>
    <w:rsid w:val="006D7F50"/>
    <w:rsid w:val="006E2678"/>
    <w:rsid w:val="00704818"/>
    <w:rsid w:val="007342D6"/>
    <w:rsid w:val="00766338"/>
    <w:rsid w:val="007D2F79"/>
    <w:rsid w:val="007D7637"/>
    <w:rsid w:val="00805589"/>
    <w:rsid w:val="00840FCA"/>
    <w:rsid w:val="008974BC"/>
    <w:rsid w:val="008D2444"/>
    <w:rsid w:val="00915F8F"/>
    <w:rsid w:val="00946159"/>
    <w:rsid w:val="009B22E7"/>
    <w:rsid w:val="009B4080"/>
    <w:rsid w:val="009B7A7E"/>
    <w:rsid w:val="009D4F05"/>
    <w:rsid w:val="00A012DC"/>
    <w:rsid w:val="00A03FBF"/>
    <w:rsid w:val="00A05F67"/>
    <w:rsid w:val="00A616A7"/>
    <w:rsid w:val="00A62D3F"/>
    <w:rsid w:val="00A641F4"/>
    <w:rsid w:val="00A6432D"/>
    <w:rsid w:val="00A71127"/>
    <w:rsid w:val="00A71562"/>
    <w:rsid w:val="00A907DE"/>
    <w:rsid w:val="00A94174"/>
    <w:rsid w:val="00A95F3A"/>
    <w:rsid w:val="00AA2E41"/>
    <w:rsid w:val="00AB0CF8"/>
    <w:rsid w:val="00AC1425"/>
    <w:rsid w:val="00AE5E13"/>
    <w:rsid w:val="00AF79FC"/>
    <w:rsid w:val="00B175FB"/>
    <w:rsid w:val="00B23E6F"/>
    <w:rsid w:val="00B240B8"/>
    <w:rsid w:val="00B27AE4"/>
    <w:rsid w:val="00B325BA"/>
    <w:rsid w:val="00BA6D27"/>
    <w:rsid w:val="00C06504"/>
    <w:rsid w:val="00C14585"/>
    <w:rsid w:val="00C67D11"/>
    <w:rsid w:val="00CC4AE9"/>
    <w:rsid w:val="00CD367E"/>
    <w:rsid w:val="00CD5554"/>
    <w:rsid w:val="00D04380"/>
    <w:rsid w:val="00D478F9"/>
    <w:rsid w:val="00D554BE"/>
    <w:rsid w:val="00D72F4C"/>
    <w:rsid w:val="00D75371"/>
    <w:rsid w:val="00DA711C"/>
    <w:rsid w:val="00DB55FD"/>
    <w:rsid w:val="00DC195D"/>
    <w:rsid w:val="00DF4292"/>
    <w:rsid w:val="00DF6456"/>
    <w:rsid w:val="00E0583A"/>
    <w:rsid w:val="00E547D6"/>
    <w:rsid w:val="00E67B92"/>
    <w:rsid w:val="00EB0E94"/>
    <w:rsid w:val="00F205A7"/>
    <w:rsid w:val="00F30DCA"/>
    <w:rsid w:val="00F73813"/>
    <w:rsid w:val="00F80ED8"/>
    <w:rsid w:val="00F83CAC"/>
    <w:rsid w:val="00F84011"/>
    <w:rsid w:val="00FB0CD6"/>
    <w:rsid w:val="0339321A"/>
    <w:rsid w:val="060677EA"/>
    <w:rsid w:val="0D947183"/>
    <w:rsid w:val="0E3106D2"/>
    <w:rsid w:val="0E7A5928"/>
    <w:rsid w:val="0EFD6D97"/>
    <w:rsid w:val="10DF7885"/>
    <w:rsid w:val="161B4888"/>
    <w:rsid w:val="17A0598B"/>
    <w:rsid w:val="1F275A00"/>
    <w:rsid w:val="1F92717A"/>
    <w:rsid w:val="218E0079"/>
    <w:rsid w:val="245C4320"/>
    <w:rsid w:val="25B25A95"/>
    <w:rsid w:val="2D8A4184"/>
    <w:rsid w:val="2E30757D"/>
    <w:rsid w:val="30EB23E3"/>
    <w:rsid w:val="32DE7175"/>
    <w:rsid w:val="334055DC"/>
    <w:rsid w:val="35451BA5"/>
    <w:rsid w:val="35560F26"/>
    <w:rsid w:val="3A39402F"/>
    <w:rsid w:val="3CDB5FF3"/>
    <w:rsid w:val="40E136E7"/>
    <w:rsid w:val="41057FCC"/>
    <w:rsid w:val="435D3397"/>
    <w:rsid w:val="4478257E"/>
    <w:rsid w:val="46412A30"/>
    <w:rsid w:val="4853019F"/>
    <w:rsid w:val="49064888"/>
    <w:rsid w:val="4A1C356C"/>
    <w:rsid w:val="4B412E8F"/>
    <w:rsid w:val="4B457112"/>
    <w:rsid w:val="4B46214B"/>
    <w:rsid w:val="4B552657"/>
    <w:rsid w:val="4CA767BE"/>
    <w:rsid w:val="52EA2C30"/>
    <w:rsid w:val="54B15CB3"/>
    <w:rsid w:val="561A1D3D"/>
    <w:rsid w:val="57BB5252"/>
    <w:rsid w:val="5868434B"/>
    <w:rsid w:val="59F65204"/>
    <w:rsid w:val="5EE9506F"/>
    <w:rsid w:val="605A031F"/>
    <w:rsid w:val="60CE7C34"/>
    <w:rsid w:val="61713506"/>
    <w:rsid w:val="63C05111"/>
    <w:rsid w:val="64E81C83"/>
    <w:rsid w:val="650D697F"/>
    <w:rsid w:val="669B2FB2"/>
    <w:rsid w:val="67070936"/>
    <w:rsid w:val="67B7007D"/>
    <w:rsid w:val="6A990843"/>
    <w:rsid w:val="6D594C19"/>
    <w:rsid w:val="6E97400B"/>
    <w:rsid w:val="6EE633BE"/>
    <w:rsid w:val="6F3E27AF"/>
    <w:rsid w:val="70114DDE"/>
    <w:rsid w:val="70CF6993"/>
    <w:rsid w:val="72725FA7"/>
    <w:rsid w:val="75BB40BE"/>
    <w:rsid w:val="797369B9"/>
    <w:rsid w:val="7A604D35"/>
    <w:rsid w:val="7AA84886"/>
    <w:rsid w:val="7D6015C1"/>
    <w:rsid w:val="7DA24D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footnote reference"/>
    <w:basedOn w:val="9"/>
    <w:unhideWhenUsed/>
    <w:qFormat/>
    <w:uiPriority w:val="99"/>
    <w:rPr>
      <w:vertAlign w:val="superscript"/>
    </w:rPr>
  </w:style>
  <w:style w:type="character" w:customStyle="1" w:styleId="12">
    <w:name w:val="页眉 Char"/>
    <w:basedOn w:val="9"/>
    <w:link w:val="5"/>
    <w:qFormat/>
    <w:uiPriority w:val="99"/>
    <w:rPr>
      <w:rFonts w:ascii="Calibri" w:hAnsi="Calibri"/>
      <w:kern w:val="2"/>
      <w:sz w:val="18"/>
      <w:szCs w:val="18"/>
    </w:rPr>
  </w:style>
  <w:style w:type="character" w:customStyle="1" w:styleId="13">
    <w:name w:val="页脚 Char"/>
    <w:basedOn w:val="9"/>
    <w:link w:val="4"/>
    <w:qFormat/>
    <w:uiPriority w:val="99"/>
    <w:rPr>
      <w:rFonts w:ascii="Calibri" w:hAnsi="Calibri"/>
      <w:kern w:val="2"/>
      <w:sz w:val="18"/>
      <w:szCs w:val="18"/>
    </w:rPr>
  </w:style>
  <w:style w:type="paragraph" w:customStyle="1" w:styleId="14">
    <w:name w:val="p0"/>
    <w:basedOn w:val="1"/>
    <w:qFormat/>
    <w:uiPriority w:val="0"/>
    <w:pPr>
      <w:widowControl/>
      <w:jc w:val="left"/>
    </w:pPr>
    <w:rPr>
      <w:rFonts w:ascii="Times New Roman" w:hAnsi="Times New Roman"/>
      <w:kern w:val="0"/>
      <w:szCs w:val="21"/>
    </w:rPr>
  </w:style>
  <w:style w:type="character" w:customStyle="1" w:styleId="15">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45</Pages>
  <Words>13771</Words>
  <Characters>19834</Characters>
  <Lines>193</Lines>
  <Paragraphs>54</Paragraphs>
  <TotalTime>145</TotalTime>
  <ScaleCrop>false</ScaleCrop>
  <LinksUpToDate>false</LinksUpToDate>
  <CharactersWithSpaces>24252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2018-09-25T03:59:00Z</cp:lastPrinted>
  <dcterms:modified xsi:type="dcterms:W3CDTF">2019-09-26T03:10:24Z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