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9E" w:rsidRDefault="00DB389E">
      <w:pPr>
        <w:pStyle w:val="1"/>
        <w:wordWrap w:val="0"/>
        <w:adjustRightInd/>
        <w:spacing w:line="240" w:lineRule="auto"/>
        <w:ind w:rightChars="400" w:right="840" w:firstLine="0"/>
        <w:jc w:val="both"/>
        <w:rPr>
          <w:rFonts w:ascii="Times New Roman" w:eastAsia="创艺简标宋" w:hAnsi="Times New Roman" w:cs="Times New Roman"/>
          <w:sz w:val="44"/>
          <w:szCs w:val="44"/>
        </w:rPr>
      </w:pPr>
    </w:p>
    <w:p w:rsidR="00DB389E" w:rsidRDefault="00E4340E">
      <w:pPr>
        <w:spacing w:line="0" w:lineRule="atLeas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bookmarkStart w:id="0" w:name="_GoBack"/>
      <w:r>
        <w:rPr>
          <w:rFonts w:ascii="方正小标宋简体" w:eastAsia="方正小标宋简体" w:hAnsi="Times New Roman" w:cs="Times New Roman" w:hint="eastAsia"/>
          <w:sz w:val="32"/>
          <w:szCs w:val="32"/>
        </w:rPr>
        <w:t>国家税务总局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平顶山市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税务局</w:t>
      </w:r>
      <w:r>
        <w:rPr>
          <w:rFonts w:ascii="方正小标宋简体" w:eastAsia="方正小标宋简体" w:hAnsi="Times New Roman" w:cs="Times New Roman" w:hint="eastAsia"/>
          <w:sz w:val="32"/>
          <w:szCs w:val="32"/>
        </w:rPr>
        <w:t>随机抽查事项清单</w:t>
      </w:r>
      <w:bookmarkEnd w:id="0"/>
    </w:p>
    <w:tbl>
      <w:tblPr>
        <w:tblpPr w:leftFromText="180" w:rightFromText="180" w:vertAnchor="text" w:horzAnchor="page" w:tblpX="1614" w:tblpY="446"/>
        <w:tblOverlap w:val="never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117"/>
        <w:gridCol w:w="1510"/>
        <w:gridCol w:w="1204"/>
        <w:gridCol w:w="4454"/>
        <w:gridCol w:w="981"/>
        <w:gridCol w:w="925"/>
        <w:gridCol w:w="792"/>
        <w:gridCol w:w="2014"/>
        <w:gridCol w:w="326"/>
      </w:tblGrid>
      <w:tr w:rsidR="00DB389E">
        <w:trPr>
          <w:trHeight w:val="212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部门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抽查事项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检查对象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检查内容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事项类别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检查方式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检查部门实施层级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检查依据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DB389E">
        <w:trPr>
          <w:trHeight w:val="38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国家税务总局平顶山市税务局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依法检查纳税人、扣缴义务人和其他涉税当事人履行纳税义务、扣缴税款义务情况及其他税法遵从情况。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辖区内纳税人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扣缴义务人和其他涉税当事人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napToGrid w:val="0"/>
              <w:spacing w:line="1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一）检查纳税人的账簿、记账凭证、报表和有关资料，检查扣缴义务人代扣代缴、代收代缴税款账簿、记账凭证和有关资料；（二）到纳税人的生产、经营场所和货物存放地检查纳税人应纳税的商品、货物或者其他财产，检查扣缴义务人与代扣代缴、代收代缴税款有关的经营情况；（三）责成纳税人、扣缴义务人提供与纳税或者代扣代缴、代收代缴税款有关的文件、证明材料和有关资料；（四）询问纳税人、扣缴义务人与代扣代缴、代收代缴税款有关的问题和情况；（五）到车站、码头、机场、邮政企业及其分支机构检查纳税人托运、邮寄应纳税商品、货物或者其他财产的有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关单据、凭证和有关资料；（六）经县以上税务局（分局）局长批准，</w:t>
            </w:r>
            <w:proofErr w:type="gramStart"/>
            <w:r>
              <w:rPr>
                <w:rFonts w:ascii="Times New Roman" w:hAnsi="Times New Roman" w:cs="Times New Roman" w:hint="eastAsia"/>
                <w:sz w:val="18"/>
                <w:szCs w:val="18"/>
              </w:rPr>
              <w:t>凭全国</w:t>
            </w:r>
            <w:proofErr w:type="gramEnd"/>
            <w:r>
              <w:rPr>
                <w:rFonts w:ascii="Times New Roman" w:hAnsi="Times New Roman" w:cs="Times New Roman" w:hint="eastAsia"/>
                <w:sz w:val="18"/>
                <w:szCs w:val="18"/>
              </w:rPr>
              <w:t>统一格式的检查存款账户许可证明，查询从事生产、经营的纳税人、扣缴义务人在银行或者其他金融机构的存款账户。经设区的市、自治州以上税务局（分局）局长批准，可以查询案件涉嫌人员的储蓄存款。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napToGrid w:val="0"/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一般检查事项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napToGrid w:val="0"/>
              <w:spacing w:line="1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现场检查、调账检查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E4340E">
            <w:pPr>
              <w:spacing w:line="120" w:lineRule="atLeas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市局、跨区域局税务稽查部门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9E" w:rsidRDefault="00E4340E">
            <w:pPr>
              <w:spacing w:line="1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中华人民共和国税收征收管理法》第四章第五十四条、第五十五条、第五十六条、第五十七条、第五十八条；</w:t>
            </w:r>
          </w:p>
          <w:p w:rsidR="00DB389E" w:rsidRDefault="00E4340E">
            <w:pPr>
              <w:spacing w:line="120" w:lineRule="atLeas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《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中华人民共和国税收征收管理法实施细则》第六章第八十五条、第八十六条、第八十七条、第八十八条、第八十九条。</w:t>
            </w:r>
          </w:p>
          <w:p w:rsidR="00DB389E" w:rsidRDefault="00DB389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9E" w:rsidRDefault="00DB389E">
            <w:pPr>
              <w:spacing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89E" w:rsidRDefault="00DB389E">
      <w:pPr>
        <w:spacing w:line="120" w:lineRule="atLeast"/>
        <w:ind w:firstLineChars="200" w:firstLine="480"/>
        <w:rPr>
          <w:rFonts w:ascii="宋体" w:hAnsi="宋体" w:cs="Times New Roman"/>
          <w:sz w:val="24"/>
          <w:szCs w:val="24"/>
        </w:rPr>
      </w:pPr>
    </w:p>
    <w:sectPr w:rsidR="00DB38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641F"/>
    <w:rsid w:val="00052479"/>
    <w:rsid w:val="000F2F57"/>
    <w:rsid w:val="000F55EA"/>
    <w:rsid w:val="001C414B"/>
    <w:rsid w:val="001D5E18"/>
    <w:rsid w:val="0023641F"/>
    <w:rsid w:val="002B20FD"/>
    <w:rsid w:val="003331DC"/>
    <w:rsid w:val="003739C1"/>
    <w:rsid w:val="00490917"/>
    <w:rsid w:val="00512CEC"/>
    <w:rsid w:val="00544003"/>
    <w:rsid w:val="006C5C28"/>
    <w:rsid w:val="008D0AAE"/>
    <w:rsid w:val="009F25BF"/>
    <w:rsid w:val="00A24BF2"/>
    <w:rsid w:val="00A2781D"/>
    <w:rsid w:val="00A91A55"/>
    <w:rsid w:val="00AB326C"/>
    <w:rsid w:val="00B629DA"/>
    <w:rsid w:val="00B7237B"/>
    <w:rsid w:val="00B86AE1"/>
    <w:rsid w:val="00CA12F5"/>
    <w:rsid w:val="00CB4F35"/>
    <w:rsid w:val="00DB389E"/>
    <w:rsid w:val="00E037EB"/>
    <w:rsid w:val="00E4340E"/>
    <w:rsid w:val="00F9558B"/>
    <w:rsid w:val="06A728A5"/>
    <w:rsid w:val="14F537DE"/>
    <w:rsid w:val="15EC671F"/>
    <w:rsid w:val="1B17573D"/>
    <w:rsid w:val="1B1977FB"/>
    <w:rsid w:val="28303D33"/>
    <w:rsid w:val="30BB131B"/>
    <w:rsid w:val="3DB123F5"/>
    <w:rsid w:val="53626D36"/>
    <w:rsid w:val="5B6954DD"/>
    <w:rsid w:val="5C90251B"/>
    <w:rsid w:val="605F2112"/>
    <w:rsid w:val="62267037"/>
    <w:rsid w:val="63BB22C5"/>
    <w:rsid w:val="6FBF6F58"/>
    <w:rsid w:val="746C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日期 Char"/>
    <w:link w:val="1"/>
    <w:qFormat/>
    <w:locked/>
    <w:rPr>
      <w:rFonts w:ascii="仿宋_GB2312" w:eastAsia="仿宋_GB2312"/>
      <w:sz w:val="32"/>
    </w:rPr>
  </w:style>
  <w:style w:type="paragraph" w:customStyle="1" w:styleId="1">
    <w:name w:val="日期1"/>
    <w:basedOn w:val="a"/>
    <w:link w:val="Char1"/>
    <w:qFormat/>
    <w:pPr>
      <w:adjustRightInd w:val="0"/>
      <w:spacing w:line="567" w:lineRule="atLeast"/>
      <w:ind w:firstLine="4253"/>
      <w:jc w:val="left"/>
    </w:pPr>
    <w:rPr>
      <w:rFonts w:ascii="仿宋_GB2312" w:eastAsia="仿宋_GB2312" w:hAnsiTheme="minorHAnsi" w:cstheme="min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4C743F-F40E-411C-9E30-A7387069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微软中国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haiyanmin@outlook.com</cp:lastModifiedBy>
  <cp:revision>19</cp:revision>
  <cp:lastPrinted>2016-12-26T00:46:00Z</cp:lastPrinted>
  <dcterms:created xsi:type="dcterms:W3CDTF">2016-12-20T06:20:00Z</dcterms:created>
  <dcterms:modified xsi:type="dcterms:W3CDTF">2020-04-23T07:35:00Z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