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平顶山市住建局随机抽查事项清单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
        <w:gridCol w:w="1298"/>
        <w:gridCol w:w="4658"/>
        <w:gridCol w:w="1604"/>
        <w:gridCol w:w="763"/>
        <w:gridCol w:w="1451"/>
        <w:gridCol w:w="1276"/>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71" w:type="dxa"/>
            <w:vMerge w:val="restart"/>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序号</w:t>
            </w:r>
          </w:p>
        </w:tc>
        <w:tc>
          <w:tcPr>
            <w:tcW w:w="5956" w:type="dxa"/>
            <w:gridSpan w:val="2"/>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抽查项目</w:t>
            </w:r>
          </w:p>
        </w:tc>
        <w:tc>
          <w:tcPr>
            <w:tcW w:w="1604" w:type="dxa"/>
            <w:vMerge w:val="restart"/>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检查对象</w:t>
            </w:r>
          </w:p>
        </w:tc>
        <w:tc>
          <w:tcPr>
            <w:tcW w:w="763" w:type="dxa"/>
            <w:vMerge w:val="restart"/>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事项类别</w:t>
            </w:r>
          </w:p>
        </w:tc>
        <w:tc>
          <w:tcPr>
            <w:tcW w:w="1451" w:type="dxa"/>
            <w:vMerge w:val="restart"/>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检查方式</w:t>
            </w:r>
          </w:p>
        </w:tc>
        <w:tc>
          <w:tcPr>
            <w:tcW w:w="1276" w:type="dxa"/>
            <w:vMerge w:val="restart"/>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检查主体</w:t>
            </w:r>
          </w:p>
        </w:tc>
        <w:tc>
          <w:tcPr>
            <w:tcW w:w="2653" w:type="dxa"/>
            <w:vMerge w:val="restart"/>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71" w:type="dxa"/>
            <w:vMerge w:val="continue"/>
            <w:vAlign w:val="center"/>
          </w:tcPr>
          <w:p>
            <w:pPr>
              <w:jc w:val="center"/>
              <w:rPr>
                <w:rFonts w:hint="eastAsia" w:ascii="仿宋_GB2312" w:hAnsi="仿宋_GB2312" w:eastAsia="仿宋_GB2312" w:cs="仿宋_GB2312"/>
                <w:color w:val="auto"/>
                <w:sz w:val="24"/>
                <w:szCs w:val="24"/>
              </w:rPr>
            </w:pPr>
          </w:p>
        </w:tc>
        <w:tc>
          <w:tcPr>
            <w:tcW w:w="1298"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抽查类别</w:t>
            </w:r>
          </w:p>
        </w:tc>
        <w:tc>
          <w:tcPr>
            <w:tcW w:w="4658"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抽查事项</w:t>
            </w:r>
          </w:p>
        </w:tc>
        <w:tc>
          <w:tcPr>
            <w:tcW w:w="1604" w:type="dxa"/>
            <w:vMerge w:val="continue"/>
            <w:vAlign w:val="center"/>
          </w:tcPr>
          <w:p>
            <w:pPr>
              <w:jc w:val="center"/>
              <w:rPr>
                <w:rFonts w:hint="eastAsia" w:ascii="仿宋_GB2312" w:hAnsi="仿宋_GB2312" w:eastAsia="仿宋_GB2312" w:cs="仿宋_GB2312"/>
                <w:b/>
                <w:bCs/>
                <w:color w:val="auto"/>
                <w:sz w:val="24"/>
                <w:szCs w:val="24"/>
                <w:vertAlign w:val="baseline"/>
                <w:lang w:eastAsia="zh-CN"/>
              </w:rPr>
            </w:pPr>
          </w:p>
        </w:tc>
        <w:tc>
          <w:tcPr>
            <w:tcW w:w="763" w:type="dxa"/>
            <w:vMerge w:val="continue"/>
            <w:vAlign w:val="center"/>
          </w:tcPr>
          <w:p>
            <w:pPr>
              <w:jc w:val="center"/>
              <w:rPr>
                <w:rFonts w:hint="eastAsia" w:ascii="仿宋_GB2312" w:hAnsi="仿宋_GB2312" w:eastAsia="仿宋_GB2312" w:cs="仿宋_GB2312"/>
                <w:b/>
                <w:bCs/>
                <w:color w:val="auto"/>
                <w:sz w:val="24"/>
                <w:szCs w:val="24"/>
                <w:vertAlign w:val="baseline"/>
                <w:lang w:eastAsia="zh-CN"/>
              </w:rPr>
            </w:pPr>
          </w:p>
        </w:tc>
        <w:tc>
          <w:tcPr>
            <w:tcW w:w="1451" w:type="dxa"/>
            <w:vMerge w:val="continue"/>
            <w:vAlign w:val="center"/>
          </w:tcPr>
          <w:p>
            <w:pPr>
              <w:jc w:val="center"/>
              <w:rPr>
                <w:rFonts w:hint="eastAsia" w:ascii="仿宋_GB2312" w:hAnsi="仿宋_GB2312" w:eastAsia="仿宋_GB2312" w:cs="仿宋_GB2312"/>
                <w:b/>
                <w:bCs/>
                <w:color w:val="auto"/>
                <w:sz w:val="24"/>
                <w:szCs w:val="24"/>
                <w:vertAlign w:val="baseline"/>
                <w:lang w:eastAsia="zh-CN"/>
              </w:rPr>
            </w:pPr>
          </w:p>
        </w:tc>
        <w:tc>
          <w:tcPr>
            <w:tcW w:w="1276" w:type="dxa"/>
            <w:vMerge w:val="continue"/>
            <w:vAlign w:val="center"/>
          </w:tcPr>
          <w:p>
            <w:pPr>
              <w:jc w:val="center"/>
              <w:rPr>
                <w:rFonts w:hint="eastAsia" w:ascii="仿宋_GB2312" w:hAnsi="仿宋_GB2312" w:eastAsia="仿宋_GB2312" w:cs="仿宋_GB2312"/>
                <w:b/>
                <w:bCs/>
                <w:color w:val="auto"/>
                <w:sz w:val="24"/>
                <w:szCs w:val="24"/>
                <w:vertAlign w:val="baseline"/>
                <w:lang w:eastAsia="zh-CN"/>
              </w:rPr>
            </w:pPr>
          </w:p>
        </w:tc>
        <w:tc>
          <w:tcPr>
            <w:tcW w:w="2653" w:type="dxa"/>
            <w:vMerge w:val="continue"/>
            <w:vAlign w:val="center"/>
          </w:tcPr>
          <w:p>
            <w:pPr>
              <w:jc w:val="center"/>
              <w:rPr>
                <w:rFonts w:hint="eastAsia" w:ascii="仿宋_GB2312" w:hAnsi="仿宋_GB2312" w:eastAsia="仿宋_GB2312" w:cs="仿宋_GB2312"/>
                <w:b/>
                <w:bCs/>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center"/>
          </w:tcPr>
          <w:p>
            <w:pPr>
              <w:jc w:val="both"/>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1298"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物业服务企业监督检查</w:t>
            </w:r>
          </w:p>
        </w:tc>
        <w:tc>
          <w:tcPr>
            <w:tcW w:w="4658"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企业依法经营情况的检查；</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项目管理服务情况的检查</w:t>
            </w:r>
          </w:p>
        </w:tc>
        <w:tc>
          <w:tcPr>
            <w:tcW w:w="1604"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开展有物业管理服务项目的物业服务企业</w:t>
            </w:r>
          </w:p>
        </w:tc>
        <w:tc>
          <w:tcPr>
            <w:tcW w:w="76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一般检查事项</w:t>
            </w:r>
          </w:p>
        </w:tc>
        <w:tc>
          <w:tcPr>
            <w:tcW w:w="1451"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现场检查、书面检查</w:t>
            </w:r>
          </w:p>
        </w:tc>
        <w:tc>
          <w:tcPr>
            <w:tcW w:w="1276"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市住建局</w:t>
            </w:r>
          </w:p>
        </w:tc>
        <w:tc>
          <w:tcPr>
            <w:tcW w:w="265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《物业管理条例》( 国务院令第 3 7 9 号)第六条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center"/>
          </w:tcPr>
          <w:p>
            <w:pPr>
              <w:jc w:val="both"/>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p>
        </w:tc>
        <w:tc>
          <w:tcPr>
            <w:tcW w:w="1298"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房地产开发企业监督检查</w:t>
            </w:r>
          </w:p>
        </w:tc>
        <w:tc>
          <w:tcPr>
            <w:tcW w:w="4658"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1.专业技术人员力量、开发建设项目业绩情况；2.质量控制制度建立和实施情况； 3.房地产开发项目手册制定和报送情况； 4.住宅质量保证书、住宅使用说明书执行情况； 5.依法、依规及诚信经营情况。</w:t>
            </w:r>
          </w:p>
        </w:tc>
        <w:tc>
          <w:tcPr>
            <w:tcW w:w="1604"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三级以下房地产开发企业</w:t>
            </w:r>
          </w:p>
        </w:tc>
        <w:tc>
          <w:tcPr>
            <w:tcW w:w="76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一般检查事项</w:t>
            </w:r>
          </w:p>
        </w:tc>
        <w:tc>
          <w:tcPr>
            <w:tcW w:w="1451"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现场检查、书面检查</w:t>
            </w:r>
          </w:p>
          <w:p>
            <w:pPr>
              <w:jc w:val="both"/>
              <w:rPr>
                <w:rFonts w:hint="eastAsia" w:ascii="仿宋_GB2312" w:hAnsi="仿宋_GB2312" w:eastAsia="仿宋_GB2312" w:cs="仿宋_GB2312"/>
                <w:color w:val="auto"/>
                <w:sz w:val="21"/>
                <w:szCs w:val="21"/>
                <w:lang w:eastAsia="zh-CN"/>
              </w:rPr>
            </w:pPr>
          </w:p>
        </w:tc>
        <w:tc>
          <w:tcPr>
            <w:tcW w:w="1276"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市住建局</w:t>
            </w:r>
          </w:p>
        </w:tc>
        <w:tc>
          <w:tcPr>
            <w:tcW w:w="265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《房地产开发企业资质管理规定》( 建设部令第 7 7号)第四条、第十一条。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center"/>
          </w:tcPr>
          <w:p>
            <w:pPr>
              <w:jc w:val="both"/>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p>
        </w:tc>
        <w:tc>
          <w:tcPr>
            <w:tcW w:w="1298"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房地产估价机构监督检查</w:t>
            </w:r>
          </w:p>
        </w:tc>
        <w:tc>
          <w:tcPr>
            <w:tcW w:w="4658"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1.房地产估价业务有关文档；2.估价质量管理、档案管理、财务管理等内部管理制度等有关文件；3.房地产估价报告以及估价委托合同、实地查勘记录等资料；</w:t>
            </w:r>
          </w:p>
        </w:tc>
        <w:tc>
          <w:tcPr>
            <w:tcW w:w="1604"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房地产估价机构</w:t>
            </w:r>
          </w:p>
        </w:tc>
        <w:tc>
          <w:tcPr>
            <w:tcW w:w="76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一般检查事项</w:t>
            </w:r>
          </w:p>
        </w:tc>
        <w:tc>
          <w:tcPr>
            <w:tcW w:w="1451"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现场检查、书面检查</w:t>
            </w:r>
          </w:p>
        </w:tc>
        <w:tc>
          <w:tcPr>
            <w:tcW w:w="1276"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市住建局</w:t>
            </w:r>
          </w:p>
        </w:tc>
        <w:tc>
          <w:tcPr>
            <w:tcW w:w="265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《房地产估价机构管理办法》( 建设部令第 1 4 2号)第三十七条。《中华人民共和国资产评估法》第四十条。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center"/>
          </w:tcPr>
          <w:p>
            <w:pPr>
              <w:jc w:val="center"/>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4</w:t>
            </w:r>
          </w:p>
        </w:tc>
        <w:tc>
          <w:tcPr>
            <w:tcW w:w="1298"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房屋建筑工程发包与承包</w:t>
            </w:r>
            <w:r>
              <w:rPr>
                <w:rFonts w:hint="eastAsia" w:ascii="仿宋_GB2312" w:hAnsi="仿宋_GB2312" w:eastAsia="仿宋_GB2312" w:cs="仿宋_GB2312"/>
                <w:color w:val="auto"/>
                <w:sz w:val="21"/>
                <w:szCs w:val="21"/>
              </w:rPr>
              <w:t>监督检查</w:t>
            </w:r>
          </w:p>
        </w:tc>
        <w:tc>
          <w:tcPr>
            <w:tcW w:w="4658"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eastAsia="zh-CN"/>
              </w:rPr>
              <w:t>.房屋建筑工程发包与承包情况</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2.建筑工人实名制管理落实情况；</w:t>
            </w:r>
            <w:r>
              <w:rPr>
                <w:rFonts w:hint="eastAsia" w:ascii="仿宋_GB2312" w:hAnsi="仿宋_GB2312" w:eastAsia="仿宋_GB2312" w:cs="仿宋_GB2312"/>
                <w:color w:val="auto"/>
                <w:sz w:val="21"/>
                <w:szCs w:val="21"/>
              </w:rPr>
              <w:t xml:space="preserve"> </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.项目管理人员</w:t>
            </w:r>
            <w:r>
              <w:rPr>
                <w:rFonts w:hint="eastAsia" w:ascii="仿宋_GB2312" w:hAnsi="仿宋_GB2312" w:eastAsia="仿宋_GB2312" w:cs="仿宋_GB2312"/>
                <w:color w:val="auto"/>
                <w:sz w:val="21"/>
                <w:szCs w:val="21"/>
                <w:lang w:val="en-US" w:eastAsia="zh-CN"/>
              </w:rPr>
              <w:t>在岗</w:t>
            </w:r>
            <w:r>
              <w:rPr>
                <w:rFonts w:hint="eastAsia" w:ascii="仿宋_GB2312" w:hAnsi="仿宋_GB2312" w:eastAsia="仿宋_GB2312" w:cs="仿宋_GB2312"/>
                <w:color w:val="auto"/>
                <w:sz w:val="21"/>
                <w:szCs w:val="21"/>
              </w:rPr>
              <w:t>履职情况。</w:t>
            </w:r>
          </w:p>
        </w:tc>
        <w:tc>
          <w:tcPr>
            <w:tcW w:w="1604"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在建房屋建筑工程</w:t>
            </w:r>
          </w:p>
        </w:tc>
        <w:tc>
          <w:tcPr>
            <w:tcW w:w="76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一般检查事项</w:t>
            </w:r>
          </w:p>
        </w:tc>
        <w:tc>
          <w:tcPr>
            <w:tcW w:w="1451"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现场检查、书面检查</w:t>
            </w:r>
          </w:p>
        </w:tc>
        <w:tc>
          <w:tcPr>
            <w:tcW w:w="1276"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市住建局</w:t>
            </w:r>
          </w:p>
        </w:tc>
        <w:tc>
          <w:tcPr>
            <w:tcW w:w="265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《住房和城乡建设部关于印发建筑工程施工发包与承包违法行为认定查处管理办法的通知》第三条、《保障农民工工资支付条例》第三十九条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71" w:type="dxa"/>
            <w:vAlign w:val="center"/>
          </w:tcPr>
          <w:p>
            <w:pPr>
              <w:jc w:val="center"/>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5</w:t>
            </w:r>
          </w:p>
        </w:tc>
        <w:tc>
          <w:tcPr>
            <w:tcW w:w="1298"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建设工程质量监督检查</w:t>
            </w:r>
          </w:p>
        </w:tc>
        <w:tc>
          <w:tcPr>
            <w:tcW w:w="4658"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1.质量行为；2.工程实体质量和进场建筑材料、设备情况；3.工程质量检测机构、监督机构履职情况。</w:t>
            </w:r>
          </w:p>
        </w:tc>
        <w:tc>
          <w:tcPr>
            <w:tcW w:w="1604"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在建房屋建筑和市政基础设施工程</w:t>
            </w:r>
          </w:p>
        </w:tc>
        <w:tc>
          <w:tcPr>
            <w:tcW w:w="76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一般检查事项</w:t>
            </w:r>
          </w:p>
        </w:tc>
        <w:tc>
          <w:tcPr>
            <w:tcW w:w="1451"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现场检查、书面检查</w:t>
            </w:r>
          </w:p>
        </w:tc>
        <w:tc>
          <w:tcPr>
            <w:tcW w:w="1276"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市住建局</w:t>
            </w:r>
          </w:p>
        </w:tc>
        <w:tc>
          <w:tcPr>
            <w:tcW w:w="265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《建设工程质量管理条例》第四条、第四十七条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71" w:type="dxa"/>
            <w:vAlign w:val="center"/>
          </w:tcPr>
          <w:p>
            <w:pPr>
              <w:jc w:val="center"/>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6</w:t>
            </w:r>
          </w:p>
        </w:tc>
        <w:tc>
          <w:tcPr>
            <w:tcW w:w="1298"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建设工程安全监督检查</w:t>
            </w:r>
          </w:p>
        </w:tc>
        <w:tc>
          <w:tcPr>
            <w:tcW w:w="4658" w:type="dxa"/>
            <w:vAlign w:val="center"/>
          </w:tcPr>
          <w:p>
            <w:pPr>
              <w:jc w:val="both"/>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1.安全生产法律法规、强制性标准、规范执行情况；2.安全管理措施和安全责任落实情况；3.安全三类人员、特种作业人员持证上岗、教育培训和履职尽责情况；4.项目扬尘治理措施落实情况。</w:t>
            </w:r>
            <w:r>
              <w:rPr>
                <w:rFonts w:hint="eastAsia" w:ascii="仿宋_GB2312" w:hAnsi="仿宋_GB2312" w:eastAsia="仿宋_GB2312" w:cs="仿宋_GB2312"/>
                <w:color w:val="auto"/>
                <w:sz w:val="21"/>
                <w:szCs w:val="21"/>
                <w:lang w:val="en-US" w:eastAsia="zh-CN"/>
              </w:rPr>
              <w:t>5.安全生产许可证相关情况检查。</w:t>
            </w:r>
          </w:p>
        </w:tc>
        <w:tc>
          <w:tcPr>
            <w:tcW w:w="1604"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在建房屋建筑和市政基础设施工程</w:t>
            </w:r>
          </w:p>
        </w:tc>
        <w:tc>
          <w:tcPr>
            <w:tcW w:w="76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一般检查事项</w:t>
            </w:r>
          </w:p>
        </w:tc>
        <w:tc>
          <w:tcPr>
            <w:tcW w:w="1451"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现场检查、书面检查</w:t>
            </w:r>
          </w:p>
        </w:tc>
        <w:tc>
          <w:tcPr>
            <w:tcW w:w="1276"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市住建局</w:t>
            </w:r>
          </w:p>
        </w:tc>
        <w:tc>
          <w:tcPr>
            <w:tcW w:w="2653"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《中华人民共和国建筑法》第四十三条；《 建设工程安全生产管理条例》第四十条第二款。《安全生产许可证条例》第四条。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center"/>
          </w:tcPr>
          <w:p>
            <w:pPr>
              <w:jc w:val="center"/>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7</w:t>
            </w:r>
          </w:p>
        </w:tc>
        <w:tc>
          <w:tcPr>
            <w:tcW w:w="1298"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建筑业企业资质监督检查</w:t>
            </w:r>
          </w:p>
        </w:tc>
        <w:tc>
          <w:tcPr>
            <w:tcW w:w="4658" w:type="dxa"/>
            <w:vAlign w:val="center"/>
          </w:tcPr>
          <w:p>
            <w:pPr>
              <w:spacing w:after="0" w:line="220" w:lineRule="atLeas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取得</w:t>
            </w:r>
            <w:r>
              <w:rPr>
                <w:rFonts w:hint="eastAsia" w:ascii="仿宋_GB2312" w:hAnsi="仿宋_GB2312" w:eastAsia="仿宋_GB2312" w:cs="仿宋_GB2312"/>
                <w:color w:val="auto"/>
                <w:sz w:val="21"/>
                <w:szCs w:val="21"/>
              </w:rPr>
              <w:t>建筑业企业资质证书的企业净资产、主要人员、技术装备等方面是否保持满足《建筑业企业资质标准》要求</w:t>
            </w:r>
          </w:p>
        </w:tc>
        <w:tc>
          <w:tcPr>
            <w:tcW w:w="1604"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权限内审批的建筑业企业</w:t>
            </w:r>
          </w:p>
        </w:tc>
        <w:tc>
          <w:tcPr>
            <w:tcW w:w="76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一般检查事项</w:t>
            </w:r>
          </w:p>
        </w:tc>
        <w:tc>
          <w:tcPr>
            <w:tcW w:w="1451" w:type="dxa"/>
            <w:vAlign w:val="center"/>
          </w:tcPr>
          <w:p>
            <w:pPr>
              <w:spacing w:after="0" w:line="220" w:lineRule="atLeas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现场检查、书面检查</w:t>
            </w:r>
          </w:p>
        </w:tc>
        <w:tc>
          <w:tcPr>
            <w:tcW w:w="1276" w:type="dxa"/>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市住建局</w:t>
            </w:r>
          </w:p>
        </w:tc>
        <w:tc>
          <w:tcPr>
            <w:tcW w:w="2653" w:type="dxa"/>
            <w:vAlign w:val="center"/>
          </w:tcPr>
          <w:p>
            <w:pPr>
              <w:spacing w:after="0" w:line="220" w:lineRule="atLeas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《建筑业企业资质管理规定》 ( 住房和城乡建设部令第 2 2 号)第二十四条</w:t>
            </w:r>
          </w:p>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dxa"/>
            <w:vAlign w:val="center"/>
          </w:tcPr>
          <w:p>
            <w:pPr>
              <w:jc w:val="center"/>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8</w:t>
            </w:r>
          </w:p>
        </w:tc>
        <w:tc>
          <w:tcPr>
            <w:tcW w:w="1298"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工程勘察设计企业监督检查</w:t>
            </w:r>
          </w:p>
        </w:tc>
        <w:tc>
          <w:tcPr>
            <w:tcW w:w="4658"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1.工程勘察、工程设计资质证书,注册执业人员的注册执业证书；2.有关勘察、设计业务文档；3.有关质量、安全生产管理、档案管理、财务管理等企业内部管理制度等文件。</w:t>
            </w:r>
          </w:p>
        </w:tc>
        <w:tc>
          <w:tcPr>
            <w:tcW w:w="1604"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具备工程勘察、设计资质的企业</w:t>
            </w:r>
          </w:p>
        </w:tc>
        <w:tc>
          <w:tcPr>
            <w:tcW w:w="76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一般检查事项</w:t>
            </w:r>
          </w:p>
        </w:tc>
        <w:tc>
          <w:tcPr>
            <w:tcW w:w="1451" w:type="dxa"/>
            <w:vAlign w:val="center"/>
          </w:tcPr>
          <w:p>
            <w:pPr>
              <w:spacing w:after="0" w:line="220" w:lineRule="atLeas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现场检查、书面检查</w:t>
            </w:r>
          </w:p>
        </w:tc>
        <w:tc>
          <w:tcPr>
            <w:tcW w:w="1276" w:type="dxa"/>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市住建局</w:t>
            </w:r>
          </w:p>
        </w:tc>
        <w:tc>
          <w:tcPr>
            <w:tcW w:w="265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《建设工程勘察设计管理条例》(国务院令第662号)第三十一条第二款；《建设工程勘察设计资质管理规定》( 建设部令第1 6 0 号)第二十一条第二款。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471" w:type="dxa"/>
            <w:vAlign w:val="center"/>
          </w:tcPr>
          <w:p>
            <w:pPr>
              <w:jc w:val="center"/>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9</w:t>
            </w:r>
          </w:p>
        </w:tc>
        <w:tc>
          <w:tcPr>
            <w:tcW w:w="1298" w:type="dxa"/>
            <w:vAlign w:val="center"/>
          </w:tcPr>
          <w:p>
            <w:pPr>
              <w:spacing w:after="0" w:line="220" w:lineRule="atLeas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工程建设强制性标准监督检查</w:t>
            </w:r>
          </w:p>
        </w:tc>
        <w:tc>
          <w:tcPr>
            <w:tcW w:w="4658"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1.工程技术人员是否熟悉、掌握强制性标准；2.规划、勘察、设计、施工、验收等是否符合强制性标准规定；3. 采用的材料、设备是否符合强制性标准规定；4.安全、质量是否符合强制性标准规定；5.工程中采用的导则、指南、手册、计算机软件的内容是否符合强制性标准规定。</w:t>
            </w:r>
          </w:p>
        </w:tc>
        <w:tc>
          <w:tcPr>
            <w:tcW w:w="1604"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在建房屋建筑和市政基础设施工程</w:t>
            </w:r>
          </w:p>
        </w:tc>
        <w:tc>
          <w:tcPr>
            <w:tcW w:w="76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一般检查事项</w:t>
            </w:r>
          </w:p>
        </w:tc>
        <w:tc>
          <w:tcPr>
            <w:tcW w:w="1451" w:type="dxa"/>
            <w:vAlign w:val="center"/>
          </w:tcPr>
          <w:p>
            <w:pPr>
              <w:spacing w:after="0" w:line="220" w:lineRule="atLeas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现场检查、书面检查</w:t>
            </w:r>
          </w:p>
        </w:tc>
        <w:tc>
          <w:tcPr>
            <w:tcW w:w="1276" w:type="dxa"/>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市住建局</w:t>
            </w:r>
          </w:p>
        </w:tc>
        <w:tc>
          <w:tcPr>
            <w:tcW w:w="265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《实施工程建设强制性标准监督规定》 ( 建设部令第 8 1 号)第四条第三款、第九条。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471" w:type="dxa"/>
            <w:vAlign w:val="center"/>
          </w:tcPr>
          <w:p>
            <w:pPr>
              <w:jc w:val="center"/>
              <w:rPr>
                <w:rFonts w:hint="default"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10</w:t>
            </w:r>
          </w:p>
        </w:tc>
        <w:tc>
          <w:tcPr>
            <w:tcW w:w="1298" w:type="dxa"/>
            <w:vAlign w:val="center"/>
          </w:tcPr>
          <w:p>
            <w:pPr>
              <w:spacing w:after="0" w:line="220" w:lineRule="atLeas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造价咨询企业</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造价师</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建筑工程发承包计价活动监督检查</w:t>
            </w:r>
          </w:p>
        </w:tc>
        <w:tc>
          <w:tcPr>
            <w:tcW w:w="4658" w:type="dxa"/>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1.资质证书、省外进豫企业登记情况、造价咨询业务文档、技术档案管理制度、质量控制制度、财务管理制度；2.工程造价咨询成果文件及工程造价咨询合同等相关资料；3.法律、法规和规章规定的其他事项</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.造价师注册证书；</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.造价师签署的工程造价成果文件及相关业务文档；</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工程</w:t>
            </w:r>
            <w:r>
              <w:rPr>
                <w:rFonts w:hint="eastAsia" w:ascii="仿宋_GB2312" w:hAnsi="仿宋_GB2312" w:eastAsia="仿宋_GB2312" w:cs="仿宋_GB2312"/>
                <w:color w:val="auto"/>
                <w:sz w:val="21"/>
                <w:szCs w:val="21"/>
              </w:rPr>
              <w:t>最高投标报价、竣工结算价备案情况是否使用工程量清单计价等。</w:t>
            </w:r>
          </w:p>
        </w:tc>
        <w:tc>
          <w:tcPr>
            <w:tcW w:w="1604" w:type="dxa"/>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造价咨询企业</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注册造价工程师</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国有投资或部分国有投资建筑工程项目</w:t>
            </w:r>
          </w:p>
        </w:tc>
        <w:tc>
          <w:tcPr>
            <w:tcW w:w="763" w:type="dxa"/>
            <w:vAlign w:val="center"/>
          </w:tcPr>
          <w:p>
            <w:pPr>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一般检查事项</w:t>
            </w:r>
          </w:p>
        </w:tc>
        <w:tc>
          <w:tcPr>
            <w:tcW w:w="1451" w:type="dxa"/>
            <w:vAlign w:val="center"/>
          </w:tcPr>
          <w:p>
            <w:pPr>
              <w:spacing w:after="0" w:line="220" w:lineRule="atLeas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现场检查、书面检查</w:t>
            </w:r>
          </w:p>
        </w:tc>
        <w:tc>
          <w:tcPr>
            <w:tcW w:w="1276" w:type="dxa"/>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市住建局</w:t>
            </w:r>
          </w:p>
        </w:tc>
        <w:tc>
          <w:tcPr>
            <w:tcW w:w="2653" w:type="dxa"/>
            <w:vAlign w:val="center"/>
          </w:tcPr>
          <w:p>
            <w:pPr>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《工程造价咨询企业管理办法》 ( 建设部令第 1 4 9号)第二十九条</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《注册造价工程师管理办法》( 建设部令第 1 5 0号)第二十三条</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《建筑工程施工发包与承包计价管理办法》 ( 住房城乡建设部 令第 1 6号)第二十一条</w:t>
            </w:r>
            <w:r>
              <w:rPr>
                <w:rFonts w:hint="eastAsia" w:ascii="仿宋_GB2312" w:hAnsi="仿宋_GB2312" w:eastAsia="仿宋_GB2312" w:cs="仿宋_GB2312"/>
                <w:color w:val="auto"/>
                <w:sz w:val="21"/>
                <w:szCs w:val="21"/>
                <w:lang w:eastAsia="zh-CN"/>
              </w:rPr>
              <w:t>。</w:t>
            </w:r>
          </w:p>
        </w:tc>
      </w:tr>
    </w:tbl>
    <w:p>
      <w:pPr>
        <w:jc w:val="both"/>
        <w:rPr>
          <w:rFonts w:hint="eastAsia" w:ascii="方正小标宋简体" w:hAnsi="方正小标宋简体" w:eastAsia="方正小标宋简体" w:cs="方正小标宋简体"/>
          <w:b/>
          <w:bCs/>
          <w:sz w:val="44"/>
          <w:szCs w:val="44"/>
          <w:lang w:eastAsia="zh-CN"/>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62A0B"/>
    <w:rsid w:val="170854D5"/>
    <w:rsid w:val="18932898"/>
    <w:rsid w:val="1D9D3CDD"/>
    <w:rsid w:val="258B18CB"/>
    <w:rsid w:val="33E41CB9"/>
    <w:rsid w:val="3BFA6336"/>
    <w:rsid w:val="3E0C35E9"/>
    <w:rsid w:val="46B253B6"/>
    <w:rsid w:val="58246A59"/>
    <w:rsid w:val="58C62A0B"/>
    <w:rsid w:val="5F065E6A"/>
    <w:rsid w:val="645314D3"/>
    <w:rsid w:val="64CB4E47"/>
    <w:rsid w:val="65402B27"/>
    <w:rsid w:val="6C212939"/>
    <w:rsid w:val="6D7263C5"/>
    <w:rsid w:val="719573D3"/>
    <w:rsid w:val="731E7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2020-03-03T06:41:00Z</dcterms:created>
  <dc:creator>飞叶非也</dc:creator>
  <cp:lastModifiedBy>飞叶非也</cp:lastModifiedBy>
  <cp:lastPrinted>2020-03-04T02:41:00Z</cp:lastPrinted>
  <dcterms:modified xsi:type="dcterms:W3CDTF">2020-03-05T00:35:13Z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