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thinThickMediumGap" w:color="FF0000" w:sz="24" w:space="1"/>
          <w:right w:val="none" w:color="auto" w:sz="0" w:space="4"/>
        </w:pBdr>
        <w:jc w:val="center"/>
        <w:rPr>
          <w:rFonts w:ascii="方正小标宋_GBK" w:hAnsi="方正小标宋_GBK" w:eastAsia="方正小标宋_GBK"/>
          <w:color w:val="F85606"/>
          <w:spacing w:val="40"/>
          <w:w w:val="80"/>
          <w:kern w:val="10"/>
          <w:position w:val="-99"/>
          <w:sz w:val="84"/>
          <w:szCs w:val="84"/>
          <w:u w:val="none" w:color="FF0000"/>
        </w:rPr>
      </w:pPr>
      <w:r>
        <w:rPr>
          <w:rFonts w:hint="eastAsia" w:ascii="方正小标宋_GBK" w:hAnsi="方正小标宋_GBK" w:eastAsia="方正小标宋_GBK"/>
          <w:color w:val="FF0000"/>
          <w:spacing w:val="40"/>
          <w:w w:val="80"/>
          <w:kern w:val="10"/>
          <w:position w:val="-99"/>
          <w:sz w:val="84"/>
          <w:szCs w:val="84"/>
          <w:u w:val="none" w:color="FF0000"/>
        </w:rPr>
        <w:t>平顶山市</w:t>
      </w:r>
      <w:r>
        <w:rPr>
          <w:rFonts w:ascii="方正小标宋_GBK" w:hAnsi="方正小标宋_GBK" w:eastAsia="方正小标宋_GBK"/>
          <w:color w:val="FF0000"/>
          <w:spacing w:val="40"/>
          <w:w w:val="80"/>
          <w:kern w:val="10"/>
          <w:position w:val="-99"/>
          <w:sz w:val="84"/>
          <w:szCs w:val="84"/>
          <w:u w:val="none" w:color="FF0000"/>
        </w:rPr>
        <w:t>民族</w:t>
      </w:r>
      <w:r>
        <w:rPr>
          <w:rFonts w:hint="eastAsia" w:ascii="方正小标宋_GBK" w:hAnsi="方正小标宋_GBK" w:eastAsia="方正小标宋_GBK"/>
          <w:color w:val="FF0000"/>
          <w:spacing w:val="40"/>
          <w:w w:val="80"/>
          <w:kern w:val="10"/>
          <w:position w:val="-99"/>
          <w:sz w:val="84"/>
          <w:szCs w:val="84"/>
          <w:u w:val="none" w:color="FF0000"/>
        </w:rPr>
        <w:t>宗教</w:t>
      </w:r>
      <w:r>
        <w:rPr>
          <w:rFonts w:ascii="方正小标宋_GBK" w:hAnsi="方正小标宋_GBK" w:eastAsia="方正小标宋_GBK"/>
          <w:color w:val="FF0000"/>
          <w:spacing w:val="40"/>
          <w:w w:val="80"/>
          <w:kern w:val="10"/>
          <w:position w:val="-99"/>
          <w:sz w:val="84"/>
          <w:szCs w:val="84"/>
          <w:u w:val="none" w:color="FF0000"/>
        </w:rPr>
        <w:t>事务</w:t>
      </w:r>
      <w:r>
        <w:rPr>
          <w:rFonts w:hint="eastAsia" w:ascii="方正小标宋_GBK" w:hAnsi="方正小标宋_GBK" w:eastAsia="方正小标宋_GBK"/>
          <w:color w:val="FF0000"/>
          <w:spacing w:val="40"/>
          <w:w w:val="80"/>
          <w:kern w:val="10"/>
          <w:position w:val="-99"/>
          <w:sz w:val="84"/>
          <w:szCs w:val="84"/>
          <w:u w:val="none" w:color="FF0000"/>
        </w:rPr>
        <w:t>局</w:t>
      </w:r>
    </w:p>
    <w:p>
      <w:pPr>
        <w:widowControl w:val="0"/>
        <w:wordWrap/>
        <w:adjustRightInd/>
        <w:snapToGrid/>
        <w:spacing w:before="0" w:after="0" w:line="0" w:lineRule="atLeast"/>
        <w:ind w:left="0" w:leftChars="0" w:right="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spacing w:line="0" w:lineRule="atLeas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平顶山市民族宗教事务局</w:t>
      </w:r>
    </w:p>
    <w:p>
      <w:pPr>
        <w:spacing w:line="0" w:lineRule="atLeast"/>
        <w:jc w:val="center"/>
        <w:rPr>
          <w:rFonts w:hint="eastAsia"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转发</w:t>
      </w:r>
      <w:r>
        <w:rPr>
          <w:rFonts w:hint="eastAsia" w:ascii="方正小标宋简体" w:eastAsia="方正小标宋简体"/>
          <w:sz w:val="44"/>
          <w:szCs w:val="44"/>
        </w:rPr>
        <w:t>《</w:t>
      </w:r>
      <w:r>
        <w:rPr>
          <w:rFonts w:hint="eastAsia" w:ascii="方正小标宋简体" w:eastAsia="方正小标宋简体"/>
          <w:sz w:val="44"/>
          <w:szCs w:val="44"/>
          <w:lang w:eastAsia="zh-CN"/>
        </w:rPr>
        <w:t>河南省民族宗教行政处罚裁量标准（试行）和相关制度</w:t>
      </w:r>
      <w:r>
        <w:rPr>
          <w:rFonts w:hint="eastAsia" w:ascii="方正小标宋简体" w:eastAsia="方正小标宋简体"/>
          <w:sz w:val="44"/>
          <w:szCs w:val="44"/>
        </w:rPr>
        <w:t xml:space="preserve">》的通知 </w:t>
      </w:r>
    </w:p>
    <w:p>
      <w:pPr>
        <w:spacing w:line="0" w:lineRule="atLeast"/>
        <w:jc w:val="left"/>
        <w:rPr>
          <w:rFonts w:hint="eastAsia" w:ascii="仿宋_GB2312" w:eastAsia="仿宋_GB2312"/>
          <w:sz w:val="32"/>
          <w:szCs w:val="32"/>
        </w:rPr>
      </w:pPr>
    </w:p>
    <w:p>
      <w:pPr>
        <w:spacing w:line="580" w:lineRule="exact"/>
        <w:jc w:val="left"/>
        <w:rPr>
          <w:rFonts w:hint="eastAsia" w:ascii="仿宋_GB2312" w:eastAsia="仿宋_GB2312"/>
          <w:sz w:val="32"/>
          <w:szCs w:val="32"/>
        </w:rPr>
      </w:pPr>
      <w:r>
        <w:rPr>
          <w:rFonts w:hint="eastAsia" w:ascii="仿宋_GB2312" w:eastAsia="仿宋_GB2312"/>
          <w:sz w:val="32"/>
          <w:szCs w:val="32"/>
        </w:rPr>
        <w:t>局机关各科室、少数民族事务管理中心：</w:t>
      </w:r>
    </w:p>
    <w:p>
      <w:pPr>
        <w:spacing w:line="580" w:lineRule="exact"/>
        <w:ind w:firstLine="628" w:firstLineChars="200"/>
        <w:jc w:val="left"/>
        <w:rPr>
          <w:rFonts w:hint="eastAsia" w:ascii="仿宋_GB2312" w:eastAsia="仿宋_GB2312"/>
          <w:sz w:val="32"/>
          <w:szCs w:val="32"/>
        </w:rPr>
      </w:pPr>
      <w:r>
        <w:rPr>
          <w:rFonts w:hint="eastAsia" w:ascii="仿宋_GB2312" w:eastAsia="仿宋_GB2312"/>
          <w:sz w:val="32"/>
          <w:szCs w:val="32"/>
          <w:lang w:eastAsia="zh-CN"/>
        </w:rPr>
        <w:t>现将</w:t>
      </w:r>
      <w:r>
        <w:rPr>
          <w:rFonts w:hint="eastAsia" w:ascii="仿宋_GB2312" w:eastAsia="仿宋_GB2312"/>
          <w:sz w:val="32"/>
          <w:szCs w:val="32"/>
        </w:rPr>
        <w:t>《</w:t>
      </w:r>
      <w:r>
        <w:rPr>
          <w:rFonts w:hint="eastAsia" w:ascii="仿宋_GB2312" w:eastAsia="仿宋_GB2312"/>
          <w:sz w:val="32"/>
          <w:szCs w:val="32"/>
          <w:lang w:eastAsia="zh-CN"/>
        </w:rPr>
        <w:t>河南省民族宗教行政处罚裁量标准（试行）和相关制度</w:t>
      </w:r>
      <w:r>
        <w:rPr>
          <w:rFonts w:hint="eastAsia" w:ascii="仿宋_GB2312" w:eastAsia="仿宋_GB2312"/>
          <w:sz w:val="32"/>
          <w:szCs w:val="32"/>
        </w:rPr>
        <w:t>》印发</w:t>
      </w:r>
      <w:r>
        <w:rPr>
          <w:rFonts w:hint="eastAsia" w:ascii="仿宋_GB2312" w:eastAsia="仿宋_GB2312"/>
          <w:sz w:val="32"/>
          <w:szCs w:val="32"/>
          <w:lang w:eastAsia="zh-CN"/>
        </w:rPr>
        <w:t>给你们</w:t>
      </w:r>
      <w:r>
        <w:rPr>
          <w:rFonts w:hint="eastAsia" w:ascii="仿宋_GB2312" w:eastAsia="仿宋_GB2312"/>
          <w:sz w:val="32"/>
          <w:szCs w:val="32"/>
        </w:rPr>
        <w:t>，请</w:t>
      </w:r>
      <w:r>
        <w:rPr>
          <w:rFonts w:hint="eastAsia" w:ascii="仿宋_GB2312" w:eastAsia="仿宋_GB2312"/>
          <w:sz w:val="32"/>
          <w:szCs w:val="32"/>
          <w:lang w:eastAsia="zh-CN"/>
        </w:rPr>
        <w:t>认真贯彻执行</w:t>
      </w:r>
      <w:r>
        <w:rPr>
          <w:rFonts w:hint="eastAsia" w:ascii="仿宋_GB2312" w:eastAsia="仿宋_GB2312"/>
          <w:sz w:val="32"/>
          <w:szCs w:val="32"/>
        </w:rPr>
        <w:t>。</w:t>
      </w:r>
    </w:p>
    <w:p>
      <w:pPr>
        <w:spacing w:line="0" w:lineRule="atLeast"/>
        <w:ind w:left="102" w:leftChars="50" w:firstLine="471" w:firstLineChars="150"/>
        <w:jc w:val="left"/>
        <w:rPr>
          <w:rFonts w:hint="eastAsia" w:ascii="仿宋_GB2312" w:eastAsia="仿宋_GB2312"/>
          <w:sz w:val="32"/>
          <w:szCs w:val="32"/>
        </w:rPr>
      </w:pPr>
    </w:p>
    <w:p>
      <w:pPr>
        <w:spacing w:line="580" w:lineRule="exact"/>
        <w:ind w:left="1562" w:leftChars="304" w:hanging="942" w:hangingChars="300"/>
        <w:jc w:val="left"/>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eastAsia="zh-CN"/>
        </w:rPr>
        <w:t>河南省民族宗教行政处罚裁量标准（试行）和相关制</w:t>
      </w:r>
    </w:p>
    <w:p>
      <w:pPr>
        <w:spacing w:line="580" w:lineRule="exact"/>
        <w:ind w:firstLine="628" w:firstLineChars="200"/>
        <w:jc w:val="left"/>
        <w:rPr>
          <w:rFonts w:hint="eastAsia" w:ascii="仿宋_GB2312" w:hAnsi="仿宋_GB2312" w:eastAsia="仿宋_GB2312" w:cs="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2021年11月29日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ascii="汉仪大宋简" w:hAnsi="汉仪大宋简" w:eastAsia="汉仪大宋简" w:cs="汉仪大宋简"/>
          <w:i w:val="0"/>
          <w:iCs w:val="0"/>
          <w:caps w:val="0"/>
          <w:color w:val="000000"/>
          <w:spacing w:val="0"/>
          <w:sz w:val="36"/>
          <w:szCs w:val="36"/>
          <w:bdr w:val="none" w:color="auto" w:sz="0" w:space="0"/>
          <w:shd w:val="clear" w:fill="FFFFFF"/>
        </w:rPr>
        <w:sectPr>
          <w:headerReference r:id="rId4" w:type="first"/>
          <w:headerReference r:id="rId3" w:type="default"/>
          <w:footerReference r:id="rId5" w:type="default"/>
          <w:footerReference r:id="rId6" w:type="even"/>
          <w:pgSz w:w="11906" w:h="16838"/>
          <w:pgMar w:top="2041" w:right="1588" w:bottom="1757" w:left="1588" w:header="851" w:footer="1474" w:gutter="0"/>
          <w:paperSrc/>
          <w:pgBorders w:display="firstPage">
            <w:bottom w:val="thickThinMediumGap" w:color="FF0000" w:sz="24" w:space="1"/>
          </w:pgBorders>
          <w:pgNumType w:fmt="numberInDash"/>
          <w:cols w:space="0" w:num="1"/>
          <w:titlePg/>
          <w:rtlGutter w:val="0"/>
          <w:docGrid w:type="linesAndChars" w:linePitch="592" w:charSpace="-1429"/>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汉仪大宋简" w:hAnsi="汉仪大宋简" w:eastAsia="汉仪大宋简" w:cs="汉仪大宋简"/>
          <w:i w:val="0"/>
          <w:iCs w:val="0"/>
          <w:caps w:val="0"/>
          <w:color w:val="000000"/>
          <w:spacing w:val="0"/>
          <w:sz w:val="36"/>
          <w:szCs w:val="36"/>
          <w:bdr w:val="none" w:color="auto" w:sz="0" w:space="0"/>
          <w:shd w:val="clear" w:fill="FFFFFF"/>
          <w:lang w:eastAsia="zh-CN"/>
        </w:rPr>
      </w:pPr>
      <w:r>
        <w:rPr>
          <w:rFonts w:hint="eastAsia" w:ascii="汉仪大宋简" w:hAnsi="汉仪大宋简" w:eastAsia="汉仪大宋简" w:cs="汉仪大宋简"/>
          <w:i w:val="0"/>
          <w:iCs w:val="0"/>
          <w:caps w:val="0"/>
          <w:color w:val="000000"/>
          <w:spacing w:val="0"/>
          <w:sz w:val="36"/>
          <w:szCs w:val="36"/>
          <w:bdr w:val="none" w:color="auto" w:sz="0" w:space="0"/>
          <w:shd w:val="clear" w:fill="FFFFFF"/>
          <w:lang w:eastAsia="zh-CN"/>
        </w:rPr>
        <w:t>附件</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ascii="汉仪大宋简" w:hAnsi="汉仪大宋简" w:eastAsia="汉仪大宋简" w:cs="汉仪大宋简"/>
          <w:i w:val="0"/>
          <w:iCs w:val="0"/>
          <w:caps w:val="0"/>
          <w:color w:val="000000"/>
          <w:spacing w:val="0"/>
          <w:sz w:val="36"/>
          <w:szCs w:val="36"/>
          <w:bdr w:val="none" w:color="auto" w:sz="0" w:space="0"/>
          <w:shd w:val="clear" w:fill="FFFFFF"/>
        </w:rPr>
        <w:t>河南省民族宗教行政处罚裁量标准（试行）和相关制度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ind w:left="0" w:right="0"/>
        <w:jc w:val="center"/>
        <w:rPr>
          <w:rFonts w:hint="default" w:ascii="Times New Roman" w:hAnsi="Times New Roman" w:cs="Times New Roman"/>
          <w:sz w:val="21"/>
          <w:szCs w:val="21"/>
        </w:rPr>
      </w:pPr>
      <w:r>
        <w:rPr>
          <w:rFonts w:ascii="方正楷体简体" w:hAnsi="方正楷体简体" w:eastAsia="方正楷体简体" w:cs="方正楷体简体"/>
          <w:i w:val="0"/>
          <w:iCs w:val="0"/>
          <w:caps w:val="0"/>
          <w:color w:val="000000"/>
          <w:spacing w:val="0"/>
          <w:sz w:val="21"/>
          <w:szCs w:val="21"/>
          <w:bdr w:val="none" w:color="auto" w:sz="0" w:space="0"/>
          <w:shd w:val="clear" w:fill="FFFFFF"/>
        </w:rPr>
        <w:t>（</w:t>
      </w:r>
      <w:r>
        <w:rPr>
          <w:rFonts w:hint="default" w:ascii="Times New Roman" w:hAnsi="Times New Roman" w:eastAsia="微软雅黑" w:cs="Times New Roman"/>
          <w:i w:val="0"/>
          <w:iCs w:val="0"/>
          <w:caps w:val="0"/>
          <w:color w:val="000000"/>
          <w:spacing w:val="0"/>
          <w:sz w:val="21"/>
          <w:szCs w:val="21"/>
          <w:bdr w:val="none" w:color="auto" w:sz="0" w:space="0"/>
          <w:shd w:val="clear" w:fill="FFFFFF"/>
        </w:rPr>
        <w:t>200</w:t>
      </w:r>
      <w:r>
        <w:rPr>
          <w:rFonts w:hint="default" w:ascii="方正楷体简体" w:hAnsi="方正楷体简体" w:eastAsia="方正楷体简体" w:cs="方正楷体简体"/>
          <w:i w:val="0"/>
          <w:iCs w:val="0"/>
          <w:caps w:val="0"/>
          <w:color w:val="000000"/>
          <w:spacing w:val="0"/>
          <w:sz w:val="21"/>
          <w:szCs w:val="21"/>
          <w:bdr w:val="none" w:color="auto" w:sz="0" w:space="0"/>
          <w:shd w:val="clear" w:fill="FFFFFF"/>
        </w:rPr>
        <w:t>9年7月23日河南省民委豫族〔</w:t>
      </w:r>
      <w:r>
        <w:rPr>
          <w:rFonts w:hint="default" w:ascii="Times New Roman" w:hAnsi="Times New Roman" w:eastAsia="微软雅黑" w:cs="Times New Roman"/>
          <w:i w:val="0"/>
          <w:iCs w:val="0"/>
          <w:caps w:val="0"/>
          <w:color w:val="000000"/>
          <w:spacing w:val="0"/>
          <w:sz w:val="21"/>
          <w:szCs w:val="21"/>
          <w:bdr w:val="none" w:color="auto" w:sz="0" w:space="0"/>
          <w:shd w:val="clear" w:fill="FFFFFF"/>
        </w:rPr>
        <w:t>200</w:t>
      </w:r>
      <w:r>
        <w:rPr>
          <w:rFonts w:hint="default" w:ascii="方正楷体简体" w:hAnsi="方正楷体简体" w:eastAsia="方正楷体简体" w:cs="方正楷体简体"/>
          <w:i w:val="0"/>
          <w:iCs w:val="0"/>
          <w:caps w:val="0"/>
          <w:color w:val="000000"/>
          <w:spacing w:val="0"/>
          <w:sz w:val="21"/>
          <w:szCs w:val="21"/>
          <w:bdr w:val="none" w:color="auto" w:sz="0" w:space="0"/>
          <w:shd w:val="clear" w:fill="FFFFFF"/>
        </w:rPr>
        <w:t>9〕</w:t>
      </w:r>
      <w:r>
        <w:rPr>
          <w:rFonts w:hint="default" w:ascii="Times New Roman" w:hAnsi="Times New Roman" w:eastAsia="微软雅黑" w:cs="Times New Roman"/>
          <w:i w:val="0"/>
          <w:iCs w:val="0"/>
          <w:caps w:val="0"/>
          <w:color w:val="000000"/>
          <w:spacing w:val="0"/>
          <w:sz w:val="21"/>
          <w:szCs w:val="21"/>
          <w:bdr w:val="none" w:color="auto" w:sz="0" w:space="0"/>
          <w:shd w:val="clear" w:fill="FFFFFF"/>
        </w:rPr>
        <w:t>4</w:t>
      </w:r>
      <w:r>
        <w:rPr>
          <w:rFonts w:hint="default" w:ascii="方正楷体简体" w:hAnsi="方正楷体简体" w:eastAsia="方正楷体简体" w:cs="方正楷体简体"/>
          <w:i w:val="0"/>
          <w:iCs w:val="0"/>
          <w:caps w:val="0"/>
          <w:color w:val="000000"/>
          <w:spacing w:val="0"/>
          <w:sz w:val="21"/>
          <w:szCs w:val="21"/>
          <w:bdr w:val="none" w:color="auto" w:sz="0" w:space="0"/>
          <w:shd w:val="clear" w:fill="FFFFFF"/>
        </w:rPr>
        <w:t>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ind w:left="0" w:right="0"/>
        <w:jc w:val="center"/>
        <w:rPr>
          <w:rFonts w:hint="default" w:ascii="Times New Roman" w:hAnsi="Times New Roman" w:cs="Times New Roman"/>
          <w:sz w:val="21"/>
          <w:szCs w:val="21"/>
        </w:rPr>
      </w:pPr>
      <w:r>
        <w:rPr>
          <w:rFonts w:hint="default" w:ascii="方正楷体简体" w:hAnsi="方正楷体简体" w:eastAsia="方正楷体简体" w:cs="方正楷体简体"/>
          <w:i w:val="0"/>
          <w:iCs w:val="0"/>
          <w:caps w:val="0"/>
          <w:color w:val="000000"/>
          <w:spacing w:val="0"/>
          <w:sz w:val="21"/>
          <w:szCs w:val="21"/>
          <w:bdr w:val="none" w:color="auto" w:sz="0" w:space="0"/>
          <w:shd w:val="clear" w:fill="FFFFFF"/>
        </w:rPr>
        <w:t>《河南省少数民族权益保障条例》行政处罚裁量标准（试行）</w:t>
      </w:r>
    </w:p>
    <w:tbl>
      <w:tblPr>
        <w:tblW w:w="132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Layout w:type="autofit"/>
        <w:tblCellMar>
          <w:top w:w="0" w:type="dxa"/>
          <w:left w:w="0" w:type="dxa"/>
          <w:bottom w:w="0" w:type="dxa"/>
          <w:right w:w="0" w:type="dxa"/>
        </w:tblCellMar>
      </w:tblPr>
      <w:tblGrid>
        <w:gridCol w:w="743"/>
        <w:gridCol w:w="3125"/>
        <w:gridCol w:w="705"/>
        <w:gridCol w:w="1123"/>
        <w:gridCol w:w="3789"/>
        <w:gridCol w:w="37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578" w:hRule="atLeast"/>
        </w:trPr>
        <w:tc>
          <w:tcPr>
            <w:tcW w:w="74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ascii="黑体" w:hAnsi="宋体" w:eastAsia="黑体" w:cs="黑体"/>
                <w:sz w:val="24"/>
                <w:szCs w:val="24"/>
                <w:bdr w:val="none" w:color="auto" w:sz="0" w:space="0"/>
              </w:rPr>
              <w:t>序号</w:t>
            </w:r>
          </w:p>
        </w:tc>
        <w:tc>
          <w:tcPr>
            <w:tcW w:w="312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处罚依据</w:t>
            </w:r>
          </w:p>
        </w:tc>
        <w:tc>
          <w:tcPr>
            <w:tcW w:w="70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项</w:t>
            </w:r>
          </w:p>
        </w:tc>
        <w:tc>
          <w:tcPr>
            <w:tcW w:w="112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裁量阶次</w:t>
            </w:r>
          </w:p>
        </w:tc>
        <w:tc>
          <w:tcPr>
            <w:tcW w:w="3789"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违法行为表现情形</w:t>
            </w:r>
          </w:p>
        </w:tc>
        <w:tc>
          <w:tcPr>
            <w:tcW w:w="372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073" w:hRule="atLeast"/>
        </w:trPr>
        <w:tc>
          <w:tcPr>
            <w:tcW w:w="743"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方正楷体简体" w:hAnsi="方正楷体简体" w:eastAsia="方正楷体简体" w:cs="方正楷体简体"/>
                <w:sz w:val="21"/>
                <w:szCs w:val="21"/>
                <w:bdr w:val="none" w:color="auto" w:sz="0" w:space="0"/>
              </w:rPr>
              <w:t>1</w:t>
            </w:r>
          </w:p>
        </w:tc>
        <w:tc>
          <w:tcPr>
            <w:tcW w:w="3125" w:type="dxa"/>
            <w:vMerge w:val="restart"/>
            <w:tcBorders>
              <w:tl2br w:val="nil"/>
              <w:tr2bl w:val="nil"/>
            </w:tcBorders>
            <w:shd w:val="clear"/>
            <w:tcMar>
              <w:left w:w="28" w:type="dxa"/>
              <w:right w:w="2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第十条第三款  禁止任何带有侮辱、歧视少数民族内容的语言、文字、图片、美术作品、音像、广告、广播、电影、电视、文艺活动和其他行为。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第四十八条  违反本条例第十条第三款的，应停止其有关活动，由民族行政主管部门和工商、新闻出版等有关部门按照各自的权限，没收并妥善处理有关制品、责令其停业整顿，处以5000元以下罚款；对直接责任人，责令其作出补救措施，并视其情节轻重给予行政处分；构成犯罪的，依法追究刑事责任。</w:t>
            </w:r>
          </w:p>
        </w:tc>
        <w:tc>
          <w:tcPr>
            <w:tcW w:w="705"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112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轻微违法行为</w:t>
            </w:r>
          </w:p>
        </w:tc>
        <w:tc>
          <w:tcPr>
            <w:tcW w:w="3789"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有侮辱、歧视少数民族内容的语言、文字、图片、美术作品、音像、广告、广播、电影、电视、文艺活动和其他行为，立即停止有关活动，及时作出补救措施未造成不良影响的。</w:t>
            </w:r>
          </w:p>
        </w:tc>
        <w:tc>
          <w:tcPr>
            <w:tcW w:w="372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应停止其有关活动，由民族事务部门和工商、新闻出版等有关部门按照各自的权限，没收并妥善处理有关制品、责令其停业整顿，处2000元以下罚款。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1709"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3125" w:type="dxa"/>
            <w:vMerge w:val="continue"/>
            <w:tcBorders>
              <w:tl2br w:val="nil"/>
              <w:tr2bl w:val="nil"/>
            </w:tcBorders>
            <w:shd w:val="clear"/>
            <w:tcMar>
              <w:left w:w="28" w:type="dxa"/>
              <w:right w:w="28" w:type="dxa"/>
            </w:tcMar>
            <w:vAlign w:val="top"/>
          </w:tcPr>
          <w:p>
            <w:pPr>
              <w:rPr>
                <w:rFonts w:hint="default" w:ascii="Times New Roman" w:hAnsi="Times New Roman" w:cs="Times New Roman"/>
                <w:sz w:val="18"/>
                <w:szCs w:val="18"/>
              </w:rPr>
            </w:pPr>
          </w:p>
        </w:tc>
        <w:tc>
          <w:tcPr>
            <w:tcW w:w="705"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12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一般违法行为</w:t>
            </w:r>
          </w:p>
        </w:tc>
        <w:tc>
          <w:tcPr>
            <w:tcW w:w="3789"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有侮辱、歧视少数民族内容的语言、文字、图片、美术作品、音像、广告、广播、电影、电视、文艺活动和其他行为，未停止有关活动，造成不良影响的。</w:t>
            </w:r>
          </w:p>
        </w:tc>
        <w:tc>
          <w:tcPr>
            <w:tcW w:w="372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应停止其有关活动，由民族事务部门和工商、新闻出版等有关部门按照各自的权限，没收并妥善处理有关制品、责令其停业整顿，处2000元以上3000元以下罚款。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891"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3125" w:type="dxa"/>
            <w:vMerge w:val="continue"/>
            <w:tcBorders>
              <w:tl2br w:val="nil"/>
              <w:tr2bl w:val="nil"/>
            </w:tcBorders>
            <w:shd w:val="clear"/>
            <w:tcMar>
              <w:left w:w="28" w:type="dxa"/>
              <w:right w:w="28" w:type="dxa"/>
            </w:tcMar>
            <w:vAlign w:val="top"/>
          </w:tcPr>
          <w:p>
            <w:pPr>
              <w:rPr>
                <w:rFonts w:hint="default" w:ascii="Times New Roman" w:hAnsi="Times New Roman" w:cs="Times New Roman"/>
                <w:sz w:val="18"/>
                <w:szCs w:val="18"/>
              </w:rPr>
            </w:pPr>
          </w:p>
        </w:tc>
        <w:tc>
          <w:tcPr>
            <w:tcW w:w="705"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12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严重违法行为</w:t>
            </w:r>
          </w:p>
        </w:tc>
        <w:tc>
          <w:tcPr>
            <w:tcW w:w="3789"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有侮辱、歧视少数民族内容的语言、文字、图片、美术作品、音像、广告、广播、电影、电视、文艺活动和其他行为，拒绝或者变相拒绝停止有关活动，造成恶劣影响的。</w:t>
            </w:r>
          </w:p>
        </w:tc>
        <w:tc>
          <w:tcPr>
            <w:tcW w:w="372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应停止其有关活动，由民族事务部门和工商、新闻出版等有关部门按照各自的权限，没收并妥善处理有关制品、责令其停业整顿，处3000元以上5000元以下罚款。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ind w:left="0" w:right="0"/>
        <w:jc w:val="center"/>
        <w:rPr>
          <w:rFonts w:hint="default" w:ascii="方正楷体简体" w:hAnsi="方正楷体简体" w:eastAsia="方正楷体简体" w:cs="方正楷体简体"/>
          <w:i w:val="0"/>
          <w:iCs w:val="0"/>
          <w:caps w:val="0"/>
          <w:color w:val="000000"/>
          <w:spacing w:val="0"/>
          <w:sz w:val="21"/>
          <w:szCs w:val="21"/>
          <w:bdr w:val="none" w:color="auto" w:sz="0" w:space="0"/>
          <w:shd w:val="clear" w:fill="FFFFFF"/>
        </w:rPr>
      </w:pPr>
      <w:r>
        <w:rPr>
          <w:rFonts w:hint="default" w:ascii="方正楷体简体" w:hAnsi="方正楷体简体" w:eastAsia="方正楷体简体" w:cs="方正楷体简体"/>
          <w:i w:val="0"/>
          <w:iCs w:val="0"/>
          <w:caps w:val="0"/>
          <w:color w:val="000000"/>
          <w:spacing w:val="0"/>
          <w:sz w:val="21"/>
          <w:szCs w:val="21"/>
          <w:bdr w:val="none" w:color="auto" w:sz="0" w:space="0"/>
          <w:shd w:val="clear" w:fill="FFFFFF"/>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ind w:left="0" w:right="0"/>
        <w:jc w:val="center"/>
        <w:rPr>
          <w:rFonts w:hint="default" w:ascii="方正楷体简体" w:hAnsi="方正楷体简体" w:eastAsia="方正楷体简体" w:cs="方正楷体简体"/>
          <w:i w:val="0"/>
          <w:iCs w:val="0"/>
          <w:caps w:val="0"/>
          <w:color w:val="000000"/>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ind w:left="0" w:right="0"/>
        <w:jc w:val="center"/>
        <w:rPr>
          <w:rFonts w:hint="default" w:ascii="方正楷体简体" w:hAnsi="方正楷体简体" w:eastAsia="方正楷体简体" w:cs="方正楷体简体"/>
          <w:i w:val="0"/>
          <w:iCs w:val="0"/>
          <w:caps w:val="0"/>
          <w:color w:val="000000"/>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ind w:left="0" w:right="0"/>
        <w:jc w:val="both"/>
        <w:rPr>
          <w:rFonts w:hint="default" w:ascii="方正楷体简体" w:hAnsi="方正楷体简体" w:eastAsia="方正楷体简体" w:cs="方正楷体简体"/>
          <w:i w:val="0"/>
          <w:iCs w:val="0"/>
          <w:caps w:val="0"/>
          <w:color w:val="000000"/>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ind w:left="0" w:right="0"/>
        <w:jc w:val="center"/>
        <w:rPr>
          <w:rFonts w:hint="default" w:ascii="Times New Roman" w:hAnsi="Times New Roman" w:cs="Times New Roman"/>
          <w:sz w:val="21"/>
          <w:szCs w:val="21"/>
        </w:rPr>
      </w:pPr>
      <w:r>
        <w:rPr>
          <w:rFonts w:hint="default" w:ascii="方正楷体简体" w:hAnsi="方正楷体简体" w:eastAsia="方正楷体简体" w:cs="方正楷体简体"/>
          <w:i w:val="0"/>
          <w:iCs w:val="0"/>
          <w:caps w:val="0"/>
          <w:color w:val="000000"/>
          <w:spacing w:val="0"/>
          <w:sz w:val="21"/>
          <w:szCs w:val="21"/>
          <w:bdr w:val="none" w:color="auto" w:sz="0" w:space="0"/>
          <w:shd w:val="clear" w:fill="FFFFFF"/>
        </w:rPr>
        <w:t>《河南省清真食品管理办法》行政处罚裁量标准（试行）</w:t>
      </w:r>
    </w:p>
    <w:tbl>
      <w:tblPr>
        <w:tblW w:w="132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Layout w:type="autofit"/>
        <w:tblCellMar>
          <w:top w:w="0" w:type="dxa"/>
          <w:left w:w="0" w:type="dxa"/>
          <w:bottom w:w="0" w:type="dxa"/>
          <w:right w:w="0" w:type="dxa"/>
        </w:tblCellMar>
      </w:tblPr>
      <w:tblGrid>
        <w:gridCol w:w="743"/>
        <w:gridCol w:w="2602"/>
        <w:gridCol w:w="523"/>
        <w:gridCol w:w="705"/>
        <w:gridCol w:w="410"/>
        <w:gridCol w:w="713"/>
        <w:gridCol w:w="547"/>
        <w:gridCol w:w="3482"/>
        <w:gridCol w:w="437"/>
        <w:gridCol w:w="15"/>
        <w:gridCol w:w="405"/>
        <w:gridCol w:w="26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578" w:hRule="atLeast"/>
        </w:trPr>
        <w:tc>
          <w:tcPr>
            <w:tcW w:w="74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序号</w:t>
            </w:r>
          </w:p>
        </w:tc>
        <w:tc>
          <w:tcPr>
            <w:tcW w:w="3125"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处罚依据</w:t>
            </w:r>
          </w:p>
        </w:tc>
        <w:tc>
          <w:tcPr>
            <w:tcW w:w="70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项</w:t>
            </w:r>
          </w:p>
        </w:tc>
        <w:tc>
          <w:tcPr>
            <w:tcW w:w="1123"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裁量阶次</w:t>
            </w:r>
          </w:p>
        </w:tc>
        <w:tc>
          <w:tcPr>
            <w:tcW w:w="4886" w:type="dxa"/>
            <w:gridSpan w:val="5"/>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违法行为表现情形</w:t>
            </w:r>
          </w:p>
        </w:tc>
        <w:tc>
          <w:tcPr>
            <w:tcW w:w="2628"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281" w:hRule="atLeast"/>
        </w:trPr>
        <w:tc>
          <w:tcPr>
            <w:tcW w:w="743"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方正楷体简体" w:hAnsi="方正楷体简体" w:eastAsia="方正楷体简体" w:cs="方正楷体简体"/>
                <w:sz w:val="21"/>
                <w:szCs w:val="21"/>
                <w:bdr w:val="none" w:color="auto" w:sz="0" w:space="0"/>
              </w:rPr>
              <w:t>2</w:t>
            </w:r>
          </w:p>
        </w:tc>
        <w:tc>
          <w:tcPr>
            <w:tcW w:w="3125" w:type="dxa"/>
            <w:gridSpan w:val="2"/>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第七条  生产经营清真食品的个体工商户或私营企业业主本人，必须是少数民族公民。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第二十二条  违反本办法第七条规定的，由民族事务工作部门收缴其清真牌证，并处以300元以上、500元以下罚款。</w:t>
            </w:r>
          </w:p>
        </w:tc>
        <w:tc>
          <w:tcPr>
            <w:tcW w:w="705"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1123"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4886" w:type="dxa"/>
            <w:gridSpan w:val="5"/>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生产经营清真食品的个体工商户或私营企业业主本人不是少数民族公民，生产经营活动时间不足10天，经民族事务部门查处能及时改正的。</w:t>
            </w:r>
          </w:p>
        </w:tc>
        <w:tc>
          <w:tcPr>
            <w:tcW w:w="2628"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收缴其清真牌证，处300元罚款。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281"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3125" w:type="dxa"/>
            <w:gridSpan w:val="2"/>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705"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123"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4886" w:type="dxa"/>
            <w:gridSpan w:val="5"/>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生产经营清真食品的个体工商户或私营企业业主本人不是少数民族公民，生产经营活动时间超过10天不足20天或经民族事务部门查处后在限期内改正的。</w:t>
            </w:r>
          </w:p>
        </w:tc>
        <w:tc>
          <w:tcPr>
            <w:tcW w:w="2628"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收缴其清真牌证，处300元以上400元以下罚款。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281"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3125" w:type="dxa"/>
            <w:gridSpan w:val="2"/>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705"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123"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4886" w:type="dxa"/>
            <w:gridSpan w:val="5"/>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生产经营清真食品的个体工商户或私营企业业主本人不是少数民族公民，生产经营活动时间超过20天或经民族事务部门查处后仍未改正的。</w:t>
            </w:r>
          </w:p>
        </w:tc>
        <w:tc>
          <w:tcPr>
            <w:tcW w:w="2628"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收缴其清真牌证，处400元以上500元以下罚款。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578" w:hRule="atLeast"/>
        </w:trPr>
        <w:tc>
          <w:tcPr>
            <w:tcW w:w="74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序号</w:t>
            </w:r>
          </w:p>
        </w:tc>
        <w:tc>
          <w:tcPr>
            <w:tcW w:w="2602"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处罚依据</w:t>
            </w:r>
          </w:p>
        </w:tc>
        <w:tc>
          <w:tcPr>
            <w:tcW w:w="1638" w:type="dxa"/>
            <w:gridSpan w:val="3"/>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项</w:t>
            </w:r>
          </w:p>
        </w:tc>
        <w:tc>
          <w:tcPr>
            <w:tcW w:w="1260"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裁量阶次</w:t>
            </w:r>
          </w:p>
        </w:tc>
        <w:tc>
          <w:tcPr>
            <w:tcW w:w="3482"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违法行为表现情形</w:t>
            </w:r>
          </w:p>
        </w:tc>
        <w:tc>
          <w:tcPr>
            <w:tcW w:w="3485" w:type="dxa"/>
            <w:gridSpan w:val="4"/>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523" w:hRule="atLeast"/>
        </w:trPr>
        <w:tc>
          <w:tcPr>
            <w:tcW w:w="743"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方正楷体简体" w:hAnsi="方正楷体简体" w:eastAsia="方正楷体简体" w:cs="方正楷体简体"/>
                <w:sz w:val="21"/>
                <w:szCs w:val="21"/>
                <w:bdr w:val="none" w:color="auto" w:sz="0" w:space="0"/>
              </w:rPr>
              <w:t>2</w:t>
            </w:r>
          </w:p>
        </w:tc>
        <w:tc>
          <w:tcPr>
            <w:tcW w:w="2602"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第八条  生产经营清真食品的单位和个人，必须按照本办法办理清真食品生产经营许可证、清真食品信誉标牌（以下简称清真牌、证）。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第二十三条  违反本办法第八、十条的，由民族事务部门给予警告并责令限期改正；逾期不改或情节严重的，收缴其清真牌、证，并处以500元以上、2000元以下罚款。</w:t>
            </w:r>
          </w:p>
        </w:tc>
        <w:tc>
          <w:tcPr>
            <w:tcW w:w="1638" w:type="dxa"/>
            <w:gridSpan w:val="3"/>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生产经营清真食品的单位和个人，未按规定办理清真牌、证生产经营清真食品的</w:t>
            </w:r>
          </w:p>
        </w:tc>
        <w:tc>
          <w:tcPr>
            <w:tcW w:w="1260"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482"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生产经营清真食品的单位和个人，未按照规定办理清真牌、证，经民族事务部门查处能及时改正的。</w:t>
            </w:r>
          </w:p>
        </w:tc>
        <w:tc>
          <w:tcPr>
            <w:tcW w:w="3485" w:type="dxa"/>
            <w:gridSpan w:val="4"/>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给予警告并责令限期改正。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523"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638" w:type="dxa"/>
            <w:gridSpan w:val="3"/>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260"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482"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生产经营清真食品的单位和个人，未按照规定办理清真牌、证，经民族事务部门查处后未在限期内改正的。</w:t>
            </w:r>
          </w:p>
        </w:tc>
        <w:tc>
          <w:tcPr>
            <w:tcW w:w="3485" w:type="dxa"/>
            <w:gridSpan w:val="4"/>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收缴其清真牌、证，并处以500元以上1000元以下罚款。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523"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638" w:type="dxa"/>
            <w:gridSpan w:val="3"/>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260"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482"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生产经营清真食品的单位和个人，未按照规定办理清真牌、证，经民族事务部门查处后未在限期内改正，在社会上造成不良影响的。</w:t>
            </w:r>
          </w:p>
        </w:tc>
        <w:tc>
          <w:tcPr>
            <w:tcW w:w="3485" w:type="dxa"/>
            <w:gridSpan w:val="4"/>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收缴其清真牌、证，并处以1000元以上2000元以下罚款。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578" w:hRule="atLeast"/>
        </w:trPr>
        <w:tc>
          <w:tcPr>
            <w:tcW w:w="74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序号</w:t>
            </w:r>
          </w:p>
        </w:tc>
        <w:tc>
          <w:tcPr>
            <w:tcW w:w="2602"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处罚依据</w:t>
            </w:r>
          </w:p>
        </w:tc>
        <w:tc>
          <w:tcPr>
            <w:tcW w:w="1638" w:type="dxa"/>
            <w:gridSpan w:val="3"/>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项</w:t>
            </w:r>
          </w:p>
        </w:tc>
        <w:tc>
          <w:tcPr>
            <w:tcW w:w="1260"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裁量阶次</w:t>
            </w:r>
          </w:p>
        </w:tc>
        <w:tc>
          <w:tcPr>
            <w:tcW w:w="3919"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违法行为表现情形</w:t>
            </w:r>
          </w:p>
        </w:tc>
        <w:tc>
          <w:tcPr>
            <w:tcW w:w="3048" w:type="dxa"/>
            <w:gridSpan w:val="3"/>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523" w:hRule="atLeast"/>
        </w:trPr>
        <w:tc>
          <w:tcPr>
            <w:tcW w:w="743"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default" w:ascii="方正楷体简体" w:hAnsi="方正楷体简体" w:eastAsia="方正楷体简体" w:cs="方正楷体简体"/>
                <w:sz w:val="21"/>
                <w:szCs w:val="21"/>
                <w:bdr w:val="none" w:color="auto" w:sz="0" w:space="0"/>
              </w:rPr>
              <w:t>2</w:t>
            </w:r>
          </w:p>
        </w:tc>
        <w:tc>
          <w:tcPr>
            <w:tcW w:w="2602"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第十条  生产经营清真食品的单位和个人印制标有清真字样的包装品时，必须持有清真食品生产经营许可证，印刷企业方能承印。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第二十三条  违反本办法第八、十条的，由民族事务部门给予警告并责令限期改正；逾期不改或情节严重的，收缴其清真牌、证，并处以500元以上、2000元以下罚款。</w:t>
            </w:r>
          </w:p>
        </w:tc>
        <w:tc>
          <w:tcPr>
            <w:tcW w:w="1638" w:type="dxa"/>
            <w:gridSpan w:val="3"/>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生产经营清真食品的单位和个人印制标有清真字样的包装品，未持有清真食品生产经营许可证的</w:t>
            </w:r>
          </w:p>
        </w:tc>
        <w:tc>
          <w:tcPr>
            <w:tcW w:w="1260"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919"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生产经营清真食品的单位和个人，在印制标有清真字样的包装品时，未持有清真食品生产经营许可证的，经民族事务部门查处能及时改正的。</w:t>
            </w:r>
          </w:p>
        </w:tc>
        <w:tc>
          <w:tcPr>
            <w:tcW w:w="3048" w:type="dxa"/>
            <w:gridSpan w:val="3"/>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给予警告并责令限期改正。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523"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638" w:type="dxa"/>
            <w:gridSpan w:val="3"/>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260"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919"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生产经营清真食品的单位和个人，在印制标有清真字样的包装品时，经民族事务部门查处后未在限期内改正的。</w:t>
            </w:r>
          </w:p>
        </w:tc>
        <w:tc>
          <w:tcPr>
            <w:tcW w:w="3048" w:type="dxa"/>
            <w:gridSpan w:val="3"/>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收缴其清真牌、证，给予500元以上1000元以下罚款。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523"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638" w:type="dxa"/>
            <w:gridSpan w:val="3"/>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260"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919"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生产经营清真食品的单位和个人，在印制标有清真字样的包装品时，经民族事务部门查处后未在限期内改正，在社会上造成不良影响的。</w:t>
            </w:r>
          </w:p>
        </w:tc>
        <w:tc>
          <w:tcPr>
            <w:tcW w:w="3048" w:type="dxa"/>
            <w:gridSpan w:val="3"/>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收缴其清真牌、证，给予1000元以上2000元以下罚款。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578" w:hRule="atLeast"/>
        </w:trPr>
        <w:tc>
          <w:tcPr>
            <w:tcW w:w="74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序号</w:t>
            </w:r>
          </w:p>
        </w:tc>
        <w:tc>
          <w:tcPr>
            <w:tcW w:w="2602"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处罚依据</w:t>
            </w:r>
          </w:p>
        </w:tc>
        <w:tc>
          <w:tcPr>
            <w:tcW w:w="1638" w:type="dxa"/>
            <w:gridSpan w:val="3"/>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项</w:t>
            </w:r>
          </w:p>
        </w:tc>
        <w:tc>
          <w:tcPr>
            <w:tcW w:w="1260"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裁量阶次</w:t>
            </w:r>
          </w:p>
        </w:tc>
        <w:tc>
          <w:tcPr>
            <w:tcW w:w="3934" w:type="dxa"/>
            <w:gridSpan w:val="3"/>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违法行为表现情形</w:t>
            </w:r>
          </w:p>
        </w:tc>
        <w:tc>
          <w:tcPr>
            <w:tcW w:w="3033"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523" w:hRule="atLeast"/>
        </w:trPr>
        <w:tc>
          <w:tcPr>
            <w:tcW w:w="743"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2</w:t>
            </w:r>
          </w:p>
        </w:tc>
        <w:tc>
          <w:tcPr>
            <w:tcW w:w="2602"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第九条  生产经营清真食品的单位和个人须将清真牌、证悬挂在店门、营业室或摊位的显著位置。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第二十四条  违反本办法第九、十一、十二、十三、十五条的，由民族事务部门给予警告，并责令限期改正，逾期不改的，处以50元以上、200元以下罚款。</w:t>
            </w:r>
          </w:p>
        </w:tc>
        <w:tc>
          <w:tcPr>
            <w:tcW w:w="1638" w:type="dxa"/>
            <w:gridSpan w:val="3"/>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生产经营清真食品的单位和个人未将清真牌、证悬挂在店内、营业室或摊位的显著位置的</w:t>
            </w:r>
          </w:p>
        </w:tc>
        <w:tc>
          <w:tcPr>
            <w:tcW w:w="1260"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934" w:type="dxa"/>
            <w:gridSpan w:val="3"/>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生产经营清真食品的单位和个人未按规定将清真牌、证悬挂在店门、营业室或摊位的显著位置，营业时间不足10天的，经民族事务部门查处能立即改正的。</w:t>
            </w:r>
          </w:p>
        </w:tc>
        <w:tc>
          <w:tcPr>
            <w:tcW w:w="3033"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给予警告，并责令限期改正。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523"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638" w:type="dxa"/>
            <w:gridSpan w:val="3"/>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260"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934" w:type="dxa"/>
            <w:gridSpan w:val="3"/>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生产经营清真食品的单位和个人未按规定将清真牌、证悬挂在店门、营业室或摊位的显著位置，营业时间超过10天不足30天或者经民族事务部门查处后未在限期内改正的。</w:t>
            </w:r>
          </w:p>
        </w:tc>
        <w:tc>
          <w:tcPr>
            <w:tcW w:w="3033"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给予警告，处以50元以上100元以下罚款。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23"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638" w:type="dxa"/>
            <w:gridSpan w:val="3"/>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260"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934" w:type="dxa"/>
            <w:gridSpan w:val="3"/>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生产经营清真食品的单位和个人未按规定将清真牌、证悬挂在店门、营业室或摊位的显著位置，营业时间超过30天或者经民族事务部门查处后逾期不改，在社会上造成不良影响的。</w:t>
            </w:r>
          </w:p>
        </w:tc>
        <w:tc>
          <w:tcPr>
            <w:tcW w:w="3033"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给予警告，处以100元以上200元以下罚款。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bdr w:val="none" w:color="auto" w:sz="0" w:space="0"/>
          <w:shd w:val="clear" w:fill="FFFFFF"/>
        </w:rPr>
      </w:pPr>
      <w:r>
        <w:rPr>
          <w:rFonts w:hint="default" w:ascii="Times New Roman" w:hAnsi="Times New Roman" w:eastAsia="微软雅黑" w:cs="Times New Roman"/>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bdr w:val="none" w:color="auto" w:sz="0" w:space="0"/>
          <w:shd w:val="clear" w:fill="FFFFFF"/>
        </w:rPr>
      </w:pPr>
    </w:p>
    <w:tbl>
      <w:tblPr>
        <w:tblW w:w="132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Layout w:type="autofit"/>
        <w:tblCellMar>
          <w:top w:w="0" w:type="dxa"/>
          <w:left w:w="0" w:type="dxa"/>
          <w:bottom w:w="0" w:type="dxa"/>
          <w:right w:w="0" w:type="dxa"/>
        </w:tblCellMar>
      </w:tblPr>
      <w:tblGrid>
        <w:gridCol w:w="743"/>
        <w:gridCol w:w="2602"/>
        <w:gridCol w:w="1638"/>
        <w:gridCol w:w="1260"/>
        <w:gridCol w:w="4009"/>
        <w:gridCol w:w="29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523" w:hRule="atLeast"/>
        </w:trPr>
        <w:tc>
          <w:tcPr>
            <w:tcW w:w="743"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2</w:t>
            </w:r>
          </w:p>
        </w:tc>
        <w:tc>
          <w:tcPr>
            <w:tcW w:w="2602"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第十一条  生产经营清真食品的单位和个人，不得生产、经营有少数民族禁忌的食品；库房、容器、生产工具、计量器具、食品运输车辆以及生产经营场地必须专用。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第二十四条  违反本办法第九、十一、十二、十三、十五条的，由民族事务部门给予警告，并责令限期改正，逾期不改的，处以50元以上、200元以下罚款。</w:t>
            </w:r>
          </w:p>
        </w:tc>
        <w:tc>
          <w:tcPr>
            <w:tcW w:w="1638"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生产经营清真食品的单位和个人，生产、经营有少数民族禁忌的食品或库房、容器、生产工具、计量器具、食品运输车辆以及生产经营场地未专用的</w:t>
            </w:r>
          </w:p>
        </w:tc>
        <w:tc>
          <w:tcPr>
            <w:tcW w:w="126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4009"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生产经营清真食品的单位和个人对其库房、容器、生产工具、计量器具、食品运输车辆以及生产经营场地未按照规定专用，经民族事务部门查处能及时改正的。</w:t>
            </w:r>
          </w:p>
        </w:tc>
        <w:tc>
          <w:tcPr>
            <w:tcW w:w="2958"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给予警告，并责令限期改正。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523"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26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4009"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生产经营清真食品的单位和个人对其库房、容器、生产工具、计量器具、食品运输车辆以及生产经营场地未按照规定专用，经民族事务部门查处后未在限期内改正。</w:t>
            </w:r>
          </w:p>
        </w:tc>
        <w:tc>
          <w:tcPr>
            <w:tcW w:w="2958"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给予警告，处以50元以上100元以下罚款。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23"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26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4009"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生产经营清真食品的单位和个人对其库房、容器、生产工具、计量器具、食品运输车辆以及生产经营场地未按照规定专用，经民族事务部门查处后未在限期内改正，在社会上造成不良影响的。</w:t>
            </w:r>
          </w:p>
        </w:tc>
        <w:tc>
          <w:tcPr>
            <w:tcW w:w="2958"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给予警告，处以100元以上200元以下罚款。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bdr w:val="none" w:color="auto" w:sz="0" w:space="0"/>
          <w:shd w:val="clear" w:fill="FFFFFF"/>
        </w:rPr>
      </w:pPr>
      <w:r>
        <w:rPr>
          <w:rFonts w:hint="default" w:ascii="Times New Roman" w:hAnsi="Times New Roman" w:eastAsia="微软雅黑" w:cs="Times New Roman"/>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eastAsia="微软雅黑" w:cs="Times New Roman"/>
          <w:i w:val="0"/>
          <w:iCs w:val="0"/>
          <w:caps w:val="0"/>
          <w:color w:val="000000"/>
          <w:spacing w:val="0"/>
          <w:sz w:val="21"/>
          <w:szCs w:val="21"/>
          <w:bdr w:val="none" w:color="auto" w:sz="0" w:space="0"/>
          <w:shd w:val="clear" w:fill="FFFFFF"/>
        </w:rPr>
      </w:pPr>
    </w:p>
    <w:tbl>
      <w:tblPr>
        <w:tblW w:w="132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Layout w:type="autofit"/>
        <w:tblCellMar>
          <w:top w:w="0" w:type="dxa"/>
          <w:left w:w="0" w:type="dxa"/>
          <w:bottom w:w="0" w:type="dxa"/>
          <w:right w:w="0" w:type="dxa"/>
        </w:tblCellMar>
      </w:tblPr>
      <w:tblGrid>
        <w:gridCol w:w="743"/>
        <w:gridCol w:w="2602"/>
        <w:gridCol w:w="1638"/>
        <w:gridCol w:w="1260"/>
        <w:gridCol w:w="3799"/>
        <w:gridCol w:w="31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578" w:hRule="atLeast"/>
        </w:trPr>
        <w:tc>
          <w:tcPr>
            <w:tcW w:w="74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序号</w:t>
            </w:r>
          </w:p>
        </w:tc>
        <w:tc>
          <w:tcPr>
            <w:tcW w:w="2602"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处罚依据</w:t>
            </w:r>
          </w:p>
        </w:tc>
        <w:tc>
          <w:tcPr>
            <w:tcW w:w="1638"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项</w:t>
            </w:r>
          </w:p>
        </w:tc>
        <w:tc>
          <w:tcPr>
            <w:tcW w:w="126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裁量阶次</w:t>
            </w:r>
          </w:p>
        </w:tc>
        <w:tc>
          <w:tcPr>
            <w:tcW w:w="3799"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违法行为表现情形</w:t>
            </w:r>
          </w:p>
        </w:tc>
        <w:tc>
          <w:tcPr>
            <w:tcW w:w="3168"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523" w:hRule="atLeast"/>
        </w:trPr>
        <w:tc>
          <w:tcPr>
            <w:tcW w:w="743"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2</w:t>
            </w:r>
          </w:p>
        </w:tc>
        <w:tc>
          <w:tcPr>
            <w:tcW w:w="2602"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第十二条  在清真食品行业从业的人员，不得在生产、经营场所携带、食用、寄存少数民族禁忌的食品。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第二十四条  违反本办法第九、十一、十二、十三、十五条的，由民族事务部门给予警告，并责令限期改正，逾期不改的，处以50元以上、200元以下罚款。</w:t>
            </w:r>
          </w:p>
        </w:tc>
        <w:tc>
          <w:tcPr>
            <w:tcW w:w="1638"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清真食品行业从业人员，在生产、经营场所携带、食用、寄存少数民族禁忌的食品的</w:t>
            </w:r>
          </w:p>
        </w:tc>
        <w:tc>
          <w:tcPr>
            <w:tcW w:w="126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799"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在清真食品行业从业的人员，在生产、经营场所携带少数民族禁忌的食品的，能够立即改正的。</w:t>
            </w:r>
          </w:p>
        </w:tc>
        <w:tc>
          <w:tcPr>
            <w:tcW w:w="3168"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给予警告。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523"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26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799"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在清真食品行业从业的人员，在生产、经营场所携带少数民族禁忌的食品，未及时改正的。</w:t>
            </w:r>
          </w:p>
        </w:tc>
        <w:tc>
          <w:tcPr>
            <w:tcW w:w="3168"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给予警告，处以50元以上100元以下罚款。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23"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26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799"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在清真食品行业从业的人员，在生产、经营场所携带少数民族禁忌的食品，未及时改正，在社会上造成不良影响的。</w:t>
            </w:r>
          </w:p>
        </w:tc>
        <w:tc>
          <w:tcPr>
            <w:tcW w:w="3168"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给予警告，处以100元以上200元以下罚款。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tbl>
      <w:tblPr>
        <w:tblW w:w="132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Layout w:type="autofit"/>
        <w:tblCellMar>
          <w:top w:w="0" w:type="dxa"/>
          <w:left w:w="0" w:type="dxa"/>
          <w:bottom w:w="0" w:type="dxa"/>
          <w:right w:w="0" w:type="dxa"/>
        </w:tblCellMar>
      </w:tblPr>
      <w:tblGrid>
        <w:gridCol w:w="743"/>
        <w:gridCol w:w="2602"/>
        <w:gridCol w:w="1638"/>
        <w:gridCol w:w="1260"/>
        <w:gridCol w:w="3814"/>
        <w:gridCol w:w="31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523" w:hRule="atLeast"/>
        </w:trPr>
        <w:tc>
          <w:tcPr>
            <w:tcW w:w="743"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2</w:t>
            </w:r>
          </w:p>
        </w:tc>
        <w:tc>
          <w:tcPr>
            <w:tcW w:w="2602"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第十三条  宾馆、招待所、旅社、医院、学校、机关和企事业单位的清真食堂或清真灶的采购、烹饪等主要岗位必须有少数民族职工监督，其炊具、器具等应与普通灶分开，保证专用。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第二十四条  违反本办法第九、十一、十二、十三、十五条的，由民族事务部门给予警告，并责令限期改正，逾期不改的，处以50元以上、200元以下罚款。</w:t>
            </w:r>
          </w:p>
        </w:tc>
        <w:tc>
          <w:tcPr>
            <w:tcW w:w="1638"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宾馆、招待所、旅社、医院、学校、机关和企事业单位的清真食堂或清真灶的采购、烹饪等主要岗位没有少数民族职工监督，炊具、器具未与普通灶分开的</w:t>
            </w:r>
          </w:p>
        </w:tc>
        <w:tc>
          <w:tcPr>
            <w:tcW w:w="126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814"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宾馆、招待所、旅社、医院、学校、机关和企事业单位的清真食堂或清真灶的炊具、器具等未与普通灶分开的。</w:t>
            </w:r>
          </w:p>
        </w:tc>
        <w:tc>
          <w:tcPr>
            <w:tcW w:w="315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给予警告，并责令限期改正。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523"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26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814"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宾馆、招待所、旅社、医院、学校、机关和企事业单位的清真食堂或清真灶的炊具、器具等未与普通灶分开，经民族事务部门查处后未在限期内改正的。</w:t>
            </w:r>
          </w:p>
        </w:tc>
        <w:tc>
          <w:tcPr>
            <w:tcW w:w="315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给予警告，处以50元以上100元以下罚款。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23"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26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814"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宾馆、招待所、旅社、医院、学校、机关和企事业单位的清真食堂或清真灶的炊具、器具等未与普通灶分开，经民族事务部门查处后未在限期内改正，在社会上造成不良影响的。</w:t>
            </w:r>
          </w:p>
        </w:tc>
        <w:tc>
          <w:tcPr>
            <w:tcW w:w="315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给予警告，处以100元以上200元以下罚款。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tbl>
      <w:tblPr>
        <w:tblW w:w="1349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Layout w:type="autofit"/>
        <w:tblCellMar>
          <w:top w:w="0" w:type="dxa"/>
          <w:left w:w="0" w:type="dxa"/>
          <w:bottom w:w="0" w:type="dxa"/>
          <w:right w:w="0" w:type="dxa"/>
        </w:tblCellMar>
      </w:tblPr>
      <w:tblGrid>
        <w:gridCol w:w="743"/>
        <w:gridCol w:w="3149"/>
        <w:gridCol w:w="1455"/>
        <w:gridCol w:w="780"/>
        <w:gridCol w:w="3598"/>
        <w:gridCol w:w="1727"/>
        <w:gridCol w:w="20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578" w:hRule="atLeast"/>
        </w:trPr>
        <w:tc>
          <w:tcPr>
            <w:tcW w:w="74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序号</w:t>
            </w:r>
          </w:p>
        </w:tc>
        <w:tc>
          <w:tcPr>
            <w:tcW w:w="3149"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处罚依据</w:t>
            </w:r>
          </w:p>
        </w:tc>
        <w:tc>
          <w:tcPr>
            <w:tcW w:w="145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项</w:t>
            </w:r>
          </w:p>
        </w:tc>
        <w:tc>
          <w:tcPr>
            <w:tcW w:w="78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裁量阶次</w:t>
            </w:r>
          </w:p>
        </w:tc>
        <w:tc>
          <w:tcPr>
            <w:tcW w:w="5325"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违法行为表现情形</w:t>
            </w:r>
          </w:p>
        </w:tc>
        <w:tc>
          <w:tcPr>
            <w:tcW w:w="204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523" w:hRule="atLeast"/>
        </w:trPr>
        <w:tc>
          <w:tcPr>
            <w:tcW w:w="743"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2</w:t>
            </w:r>
          </w:p>
        </w:tc>
        <w:tc>
          <w:tcPr>
            <w:tcW w:w="3149"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第十五条  商场、商店经批准经销清真食品时，应固定专柜，并悬挂清真牌、证，由少数民族职工专人管理经营。严禁清真食品与非清真食品混放。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第二十四条  违反本办法第九、十一、十二、十三、十五条的，由民族事务部门给予警告，并责令限期改正，逾期不改的，处以50元以上、200元以下罚款。</w:t>
            </w:r>
          </w:p>
        </w:tc>
        <w:tc>
          <w:tcPr>
            <w:tcW w:w="1455"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商场、商店经销清真食品时没有设固定专柜，未悬挂清真牌、证的，清真食品与非清真食品混放的和没由少数民族职工专人管理经营的</w:t>
            </w:r>
          </w:p>
        </w:tc>
        <w:tc>
          <w:tcPr>
            <w:tcW w:w="78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5325"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商场、商店经销清真食品设有固定专柜，由少数民族职工专人管理经营，未悬挂清真牌、证的。</w:t>
            </w:r>
          </w:p>
        </w:tc>
        <w:tc>
          <w:tcPr>
            <w:tcW w:w="204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给予警告，并责令限期改正。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523"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3149"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455"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78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5325"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商场、商店经销清真食品时悬挂有清真牌、证的，没有设固定专柜或者未由少数民族职工专人管理的。</w:t>
            </w:r>
          </w:p>
        </w:tc>
        <w:tc>
          <w:tcPr>
            <w:tcW w:w="204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给予警告，处以50元以上100元以下罚款。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90"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3149"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455"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78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5325"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商场、商店经销清真食品时，未悬挂清真牌、证的，或者没有设定固定专柜，或者没有由少数民族职工专人管理经营，造成清真食品与非清真食品混放的。</w:t>
            </w:r>
          </w:p>
        </w:tc>
        <w:tc>
          <w:tcPr>
            <w:tcW w:w="204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给予警告，处100元以上200元以下罚款。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0" w:type="dxa"/>
            <w:left w:w="0" w:type="dxa"/>
            <w:bottom w:w="0" w:type="dxa"/>
            <w:right w:w="0" w:type="dxa"/>
          </w:tblCellMar>
        </w:tblPrEx>
        <w:trPr>
          <w:trHeight w:val="2523" w:hRule="atLeast"/>
        </w:trPr>
        <w:tc>
          <w:tcPr>
            <w:tcW w:w="743"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w:t>
            </w:r>
          </w:p>
        </w:tc>
        <w:tc>
          <w:tcPr>
            <w:tcW w:w="3149"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第十九条  任何单位和个人不得委托、转让、出租清真牌、证，严禁任何单位和个人买卖、伪造、仿制清真牌、证。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第二十五条  违反本办法第十九条，委托、转让、出租清真牌、证的，由民族事务工作部门收缴其清真牌、证，并处以500元以上、2000元以下罚款；对买卖、伪造、仿制清真牌、证的，由民族事务工作部门收缴其清真牌、证，并处责任人1000元以上、5000元以下罚款。</w:t>
            </w:r>
          </w:p>
        </w:tc>
        <w:tc>
          <w:tcPr>
            <w:tcW w:w="1455"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（二）单位或个人买卖、伪造、仿制清真牌、证的</w:t>
            </w:r>
          </w:p>
        </w:tc>
        <w:tc>
          <w:tcPr>
            <w:tcW w:w="78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598"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单位或个人买卖、伪造、仿制清真牌、证的，经民族事务部门查处能够及时改正的。</w:t>
            </w:r>
          </w:p>
        </w:tc>
        <w:tc>
          <w:tcPr>
            <w:tcW w:w="3767"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收缴其清真牌、证，并处责任人1000元以上1500元以下罚款。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3"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3149"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455"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78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598"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单位或个人买卖、伪造、仿制清真牌、证的，经民族事务部门查处后在限期内能改正的。</w:t>
            </w:r>
          </w:p>
        </w:tc>
        <w:tc>
          <w:tcPr>
            <w:tcW w:w="3767"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收缴其清真牌、证，并处责任人1500元以上3000元以下罚款。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3"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3149"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455"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78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598"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单位或个人买卖、伪造、仿制清真牌、证的，经民族事务部门查处后未在限期内改正，在社会上造成不良影响的。</w:t>
            </w:r>
          </w:p>
        </w:tc>
        <w:tc>
          <w:tcPr>
            <w:tcW w:w="3767" w:type="dxa"/>
            <w:gridSpan w:val="2"/>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收缴其清真牌、证，并处责任人以3000元以上5000元以下罚款。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ind w:left="0" w:right="0"/>
        <w:jc w:val="center"/>
        <w:rPr>
          <w:rFonts w:hint="default" w:ascii="Times New Roman" w:hAnsi="Times New Roman" w:cs="Times New Roman"/>
          <w:sz w:val="21"/>
          <w:szCs w:val="21"/>
        </w:rPr>
      </w:pPr>
      <w:r>
        <w:rPr>
          <w:rFonts w:hint="default" w:ascii="方正楷体简体" w:hAnsi="方正楷体简体" w:eastAsia="方正楷体简体" w:cs="方正楷体简体"/>
          <w:i w:val="0"/>
          <w:iCs w:val="0"/>
          <w:caps w:val="0"/>
          <w:color w:val="000000"/>
          <w:spacing w:val="0"/>
          <w:sz w:val="21"/>
          <w:szCs w:val="21"/>
          <w:bdr w:val="none" w:color="auto" w:sz="0" w:space="0"/>
          <w:shd w:val="clear" w:fill="FFFFFF"/>
        </w:rPr>
        <w:t>《宗教事务条例》行政处罚裁量标准（试行）</w:t>
      </w:r>
    </w:p>
    <w:tbl>
      <w:tblPr>
        <w:tblW w:w="132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Layout w:type="autofit"/>
        <w:tblCellMar>
          <w:top w:w="0" w:type="dxa"/>
          <w:left w:w="0" w:type="dxa"/>
          <w:bottom w:w="0" w:type="dxa"/>
          <w:right w:w="0" w:type="dxa"/>
        </w:tblCellMar>
      </w:tblPr>
      <w:tblGrid>
        <w:gridCol w:w="743"/>
        <w:gridCol w:w="2602"/>
        <w:gridCol w:w="700"/>
        <w:gridCol w:w="1303"/>
        <w:gridCol w:w="3165"/>
        <w:gridCol w:w="46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578" w:hRule="atLeast"/>
        </w:trPr>
        <w:tc>
          <w:tcPr>
            <w:tcW w:w="74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序号</w:t>
            </w:r>
          </w:p>
        </w:tc>
        <w:tc>
          <w:tcPr>
            <w:tcW w:w="2602"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处罚依据</w:t>
            </w:r>
          </w:p>
        </w:tc>
        <w:tc>
          <w:tcPr>
            <w:tcW w:w="70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项</w:t>
            </w:r>
          </w:p>
        </w:tc>
        <w:tc>
          <w:tcPr>
            <w:tcW w:w="130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裁量阶次</w:t>
            </w:r>
          </w:p>
        </w:tc>
        <w:tc>
          <w:tcPr>
            <w:tcW w:w="316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违法行为表现情形</w:t>
            </w:r>
          </w:p>
        </w:tc>
        <w:tc>
          <w:tcPr>
            <w:tcW w:w="4697"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291" w:hRule="atLeast"/>
        </w:trPr>
        <w:tc>
          <w:tcPr>
            <w:tcW w:w="743"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3</w:t>
            </w:r>
          </w:p>
        </w:tc>
        <w:tc>
          <w:tcPr>
            <w:tcW w:w="2602"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第四十条第三款  擅自举行大型宗教活动的，由宗教事务部门责令停止活动；有违法所得的，没收违法所得，可以并处违法所得1倍以上3倍以下的罚款；其中，大型宗教活动是宗教团体、宗教活动场所擅自举办的，登记管理机关还可以责令该宗教团体、宗教活动场所撤换直接负责的主管人员。</w:t>
            </w:r>
          </w:p>
        </w:tc>
        <w:tc>
          <w:tcPr>
            <w:tcW w:w="700"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130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16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擅自举行大型宗教活动，经宗教事务部门查处能够立即停止活动的。</w:t>
            </w:r>
          </w:p>
        </w:tc>
        <w:tc>
          <w:tcPr>
            <w:tcW w:w="4697"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责令停止活动；有违法所得的，没收违法所得，并处违法所得1倍罚款。其中，大型宗教活动是宗教团体、宗教活动场所擅自举办的，登记管理机关还可以责令该宗教团体、宗教活动场所撤换直接负责的主管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291"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700"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30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16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擅自举行大型宗教活动，经宗教事务部门查处后在限期内能停止活动的。</w:t>
            </w:r>
          </w:p>
        </w:tc>
        <w:tc>
          <w:tcPr>
            <w:tcW w:w="4697"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责令停止活动；有违法所得的，没收违法所得，并处违法所得1倍以上2倍以下罚款。其中，大型宗教活动是宗教团体、宗教活动场所擅自举办的，登记管理机关还可以责令该宗教团体、宗教活动场所撤换直接负责的主管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2292"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700"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30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16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擅自举行大型宗教活动，经宗教事务部门查处后在限期内没有停止活动，在社会上造成不良影响的。</w:t>
            </w:r>
          </w:p>
        </w:tc>
        <w:tc>
          <w:tcPr>
            <w:tcW w:w="4697"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责令停止活动；有违法所得的，没收违法所得，并处违法所得2倍以上3倍以下罚款。其中，大型宗教活动是宗教团体、宗教活动场所擅自举办的，登记管理机关还可以责令该宗教团体、宗教活动场所撤换直接负责的主管人员。</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tbl>
      <w:tblPr>
        <w:tblW w:w="1321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Layout w:type="autofit"/>
        <w:tblCellMar>
          <w:top w:w="0" w:type="dxa"/>
          <w:left w:w="0" w:type="dxa"/>
          <w:bottom w:w="0" w:type="dxa"/>
          <w:right w:w="0" w:type="dxa"/>
        </w:tblCellMar>
      </w:tblPr>
      <w:tblGrid>
        <w:gridCol w:w="743"/>
        <w:gridCol w:w="2602"/>
        <w:gridCol w:w="1638"/>
        <w:gridCol w:w="1260"/>
        <w:gridCol w:w="3683"/>
        <w:gridCol w:w="32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578" w:hRule="atLeast"/>
        </w:trPr>
        <w:tc>
          <w:tcPr>
            <w:tcW w:w="74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序号</w:t>
            </w:r>
          </w:p>
        </w:tc>
        <w:tc>
          <w:tcPr>
            <w:tcW w:w="2602"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处罚依据</w:t>
            </w:r>
          </w:p>
        </w:tc>
        <w:tc>
          <w:tcPr>
            <w:tcW w:w="1638"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项</w:t>
            </w:r>
          </w:p>
        </w:tc>
        <w:tc>
          <w:tcPr>
            <w:tcW w:w="126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裁量阶次</w:t>
            </w:r>
          </w:p>
        </w:tc>
        <w:tc>
          <w:tcPr>
            <w:tcW w:w="368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违法行为表现情形</w:t>
            </w:r>
          </w:p>
        </w:tc>
        <w:tc>
          <w:tcPr>
            <w:tcW w:w="3284"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1878" w:hRule="atLeast"/>
        </w:trPr>
        <w:tc>
          <w:tcPr>
            <w:tcW w:w="743"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3</w:t>
            </w:r>
          </w:p>
        </w:tc>
        <w:tc>
          <w:tcPr>
            <w:tcW w:w="2602"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第四十三条第二款  非宗教团体、非宗教活动场所组织、举行宗教活动，接受宗教性捐献的，由宗教事务部门责令停止活动；有违法所得的，没收违法所得；情节严重的，可以并处违法所得1倍以上3倍以下的罚款。</w:t>
            </w:r>
          </w:p>
        </w:tc>
        <w:tc>
          <w:tcPr>
            <w:tcW w:w="1638"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非宗教团体、非宗教活动场所组织、举行宗教活动，接受宗教性捐献的</w:t>
            </w:r>
          </w:p>
        </w:tc>
        <w:tc>
          <w:tcPr>
            <w:tcW w:w="126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68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非宗教团体、非宗教活动场所组织、举行宗教活动，接受宗教性捐献，经宗教事务部门查处能够及时停止活动的。</w:t>
            </w:r>
          </w:p>
        </w:tc>
        <w:tc>
          <w:tcPr>
            <w:tcW w:w="3284"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责令停止活动。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1878"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26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68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非宗教团体、非宗教活动场所组织、举行宗教活动，接受宗教性捐献，有违法所得的，经宗教事务部门查处后能够停止活动的。</w:t>
            </w:r>
          </w:p>
        </w:tc>
        <w:tc>
          <w:tcPr>
            <w:tcW w:w="3284"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责令停止活动，没收违法所得。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0" w:type="dxa"/>
            <w:left w:w="0" w:type="dxa"/>
            <w:bottom w:w="0" w:type="dxa"/>
            <w:right w:w="0" w:type="dxa"/>
          </w:tblCellMar>
        </w:tblPrEx>
        <w:trPr>
          <w:trHeight w:val="1878"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26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68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非宗教团体、非宗教活动场所组织、举行宗教活动，接受宗教性捐献，有违法所得的，经宗教事务部门查处后不停止活动的。</w:t>
            </w:r>
          </w:p>
        </w:tc>
        <w:tc>
          <w:tcPr>
            <w:tcW w:w="3284"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责令停止活动，没收违法所得，并处违法所得1倍以上2倍以下的罚款。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879"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26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特别严重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违法行为</w:t>
            </w:r>
          </w:p>
        </w:tc>
        <w:tc>
          <w:tcPr>
            <w:tcW w:w="368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非宗教团体、非宗教活动场所组织、举行宗教活动，接受宗教性捐献，有违法所得的，经宗教事务部门查处后不停止活动，在社会上产生不良影响的。</w:t>
            </w:r>
          </w:p>
        </w:tc>
        <w:tc>
          <w:tcPr>
            <w:tcW w:w="3284"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责令停止活动；没收违法所得，并处违法所得2倍以上3倍以下的罚款。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tbl>
      <w:tblPr>
        <w:tblW w:w="132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43"/>
        <w:gridCol w:w="2602"/>
        <w:gridCol w:w="1638"/>
        <w:gridCol w:w="1260"/>
        <w:gridCol w:w="3482"/>
        <w:gridCol w:w="3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8" w:hRule="atLeast"/>
        </w:trPr>
        <w:tc>
          <w:tcPr>
            <w:tcW w:w="743" w:type="dxa"/>
            <w:tcBorders>
              <w:top w:val="single" w:color="auto" w:sz="8" w:space="0"/>
              <w:left w:val="single" w:color="auto" w:sz="8" w:space="0"/>
              <w:bottom w:val="single" w:color="auto" w:sz="8" w:space="0"/>
              <w:right w:val="single" w:color="auto" w:sz="8" w:space="0"/>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序号</w:t>
            </w:r>
          </w:p>
        </w:tc>
        <w:tc>
          <w:tcPr>
            <w:tcW w:w="2602" w:type="dxa"/>
            <w:tcBorders>
              <w:top w:val="single" w:color="auto" w:sz="8" w:space="0"/>
              <w:left w:val="nil"/>
              <w:bottom w:val="single" w:color="auto" w:sz="8" w:space="0"/>
              <w:right w:val="single" w:color="auto" w:sz="8" w:space="0"/>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处罚依据</w:t>
            </w:r>
          </w:p>
        </w:tc>
        <w:tc>
          <w:tcPr>
            <w:tcW w:w="1638" w:type="dxa"/>
            <w:tcBorders>
              <w:top w:val="single" w:color="auto" w:sz="8" w:space="0"/>
              <w:left w:val="nil"/>
              <w:bottom w:val="single" w:color="auto" w:sz="8" w:space="0"/>
              <w:right w:val="single" w:color="auto" w:sz="8" w:space="0"/>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项</w:t>
            </w:r>
          </w:p>
        </w:tc>
        <w:tc>
          <w:tcPr>
            <w:tcW w:w="1260" w:type="dxa"/>
            <w:tcBorders>
              <w:top w:val="single" w:color="auto" w:sz="8" w:space="0"/>
              <w:left w:val="nil"/>
              <w:bottom w:val="single" w:color="auto" w:sz="8" w:space="0"/>
              <w:right w:val="single" w:color="auto" w:sz="8" w:space="0"/>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裁量阶次</w:t>
            </w:r>
          </w:p>
        </w:tc>
        <w:tc>
          <w:tcPr>
            <w:tcW w:w="3482" w:type="dxa"/>
            <w:tcBorders>
              <w:top w:val="single" w:color="auto" w:sz="8" w:space="0"/>
              <w:left w:val="nil"/>
              <w:bottom w:val="single" w:color="auto" w:sz="8" w:space="0"/>
              <w:right w:val="single" w:color="auto" w:sz="8" w:space="0"/>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违法行为表现情形</w:t>
            </w:r>
          </w:p>
        </w:tc>
        <w:tc>
          <w:tcPr>
            <w:tcW w:w="3485" w:type="dxa"/>
            <w:tcBorders>
              <w:top w:val="single" w:color="auto" w:sz="8" w:space="0"/>
              <w:left w:val="nil"/>
              <w:bottom w:val="single" w:color="auto" w:sz="8" w:space="0"/>
              <w:right w:val="single" w:color="auto" w:sz="8" w:space="0"/>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23" w:hRule="atLeast"/>
        </w:trPr>
        <w:tc>
          <w:tcPr>
            <w:tcW w:w="743" w:type="dxa"/>
            <w:vMerge w:val="restart"/>
            <w:tcBorders>
              <w:top w:val="nil"/>
              <w:left w:val="single" w:color="auto" w:sz="8" w:space="0"/>
              <w:bottom w:val="single" w:color="auto" w:sz="8" w:space="0"/>
              <w:right w:val="single" w:color="auto" w:sz="8" w:space="0"/>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3</w:t>
            </w:r>
          </w:p>
        </w:tc>
        <w:tc>
          <w:tcPr>
            <w:tcW w:w="2602" w:type="dxa"/>
            <w:vMerge w:val="restart"/>
            <w:tcBorders>
              <w:top w:val="nil"/>
              <w:left w:val="nil"/>
              <w:bottom w:val="single" w:color="auto" w:sz="8" w:space="0"/>
              <w:right w:val="single" w:color="auto" w:sz="8" w:space="0"/>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第四十三条第三款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擅自组织信教公民到国外朝觐的，由宗教事务部门责令停止活动；有违法所得的，没收违法所得，可以并处违法所得1倍以上3倍以下的罚款。</w:t>
            </w:r>
          </w:p>
        </w:tc>
        <w:tc>
          <w:tcPr>
            <w:tcW w:w="1638" w:type="dxa"/>
            <w:vMerge w:val="restart"/>
            <w:tcBorders>
              <w:top w:val="nil"/>
              <w:left w:val="nil"/>
              <w:bottom w:val="single" w:color="auto" w:sz="8" w:space="0"/>
              <w:right w:val="single" w:color="auto" w:sz="8" w:space="0"/>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擅自组织信教公民到国外朝觐的</w:t>
            </w:r>
          </w:p>
        </w:tc>
        <w:tc>
          <w:tcPr>
            <w:tcW w:w="1260" w:type="dxa"/>
            <w:tcBorders>
              <w:top w:val="nil"/>
              <w:left w:val="nil"/>
              <w:bottom w:val="single" w:color="auto" w:sz="8" w:space="0"/>
              <w:right w:val="single" w:color="auto" w:sz="8" w:space="0"/>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482" w:type="dxa"/>
            <w:tcBorders>
              <w:top w:val="nil"/>
              <w:left w:val="nil"/>
              <w:bottom w:val="single" w:color="auto" w:sz="8" w:space="0"/>
              <w:right w:val="single" w:color="auto" w:sz="8" w:space="0"/>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擅自组织信教公民到国外朝觐尚未成行，经宗教事务部门查处能够停止活动的。</w:t>
            </w:r>
          </w:p>
        </w:tc>
        <w:tc>
          <w:tcPr>
            <w:tcW w:w="3485" w:type="dxa"/>
            <w:tcBorders>
              <w:top w:val="nil"/>
              <w:left w:val="nil"/>
              <w:bottom w:val="single" w:color="auto" w:sz="8" w:space="0"/>
              <w:right w:val="single" w:color="auto" w:sz="8" w:space="0"/>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责令停止活动；有违法所得的，没收违法所得。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3" w:hRule="atLeast"/>
        </w:trPr>
        <w:tc>
          <w:tcPr>
            <w:tcW w:w="743"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default" w:ascii="Times New Roman" w:hAnsi="Times New Roman" w:cs="Times New Roman"/>
                <w:sz w:val="18"/>
                <w:szCs w:val="18"/>
              </w:rPr>
            </w:pPr>
          </w:p>
        </w:tc>
        <w:tc>
          <w:tcPr>
            <w:tcW w:w="1260" w:type="dxa"/>
            <w:tcBorders>
              <w:top w:val="nil"/>
              <w:left w:val="nil"/>
              <w:bottom w:val="single" w:color="auto" w:sz="8" w:space="0"/>
              <w:right w:val="single" w:color="auto" w:sz="8" w:space="0"/>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482" w:type="dxa"/>
            <w:tcBorders>
              <w:top w:val="nil"/>
              <w:left w:val="nil"/>
              <w:bottom w:val="single" w:color="auto" w:sz="8" w:space="0"/>
              <w:right w:val="single" w:color="auto" w:sz="8" w:space="0"/>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擅自组织信教公民到国外朝觐尚未成行，经宗教事务部门查处后未停止活动的。</w:t>
            </w:r>
          </w:p>
        </w:tc>
        <w:tc>
          <w:tcPr>
            <w:tcW w:w="3485" w:type="dxa"/>
            <w:tcBorders>
              <w:top w:val="nil"/>
              <w:left w:val="nil"/>
              <w:bottom w:val="single" w:color="auto" w:sz="8" w:space="0"/>
              <w:right w:val="single" w:color="auto" w:sz="8" w:space="0"/>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责令停止活动；有违法所得，没收违法所得，并处于违法所得1倍以上2倍以下的罚款。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3" w:hRule="atLeast"/>
        </w:trPr>
        <w:tc>
          <w:tcPr>
            <w:tcW w:w="743"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default" w:ascii="Times New Roman" w:hAnsi="Times New Roman" w:cs="Times New Roman"/>
                <w:sz w:val="18"/>
                <w:szCs w:val="18"/>
              </w:rPr>
            </w:pPr>
          </w:p>
        </w:tc>
        <w:tc>
          <w:tcPr>
            <w:tcW w:w="1638"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default" w:ascii="Times New Roman" w:hAnsi="Times New Roman" w:cs="Times New Roman"/>
                <w:sz w:val="18"/>
                <w:szCs w:val="18"/>
              </w:rPr>
            </w:pPr>
          </w:p>
        </w:tc>
        <w:tc>
          <w:tcPr>
            <w:tcW w:w="1260" w:type="dxa"/>
            <w:tcBorders>
              <w:top w:val="nil"/>
              <w:left w:val="nil"/>
              <w:bottom w:val="single" w:color="auto" w:sz="8" w:space="0"/>
              <w:right w:val="single" w:color="auto" w:sz="8" w:space="0"/>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482" w:type="dxa"/>
            <w:tcBorders>
              <w:top w:val="nil"/>
              <w:left w:val="nil"/>
              <w:bottom w:val="single" w:color="auto" w:sz="8" w:space="0"/>
              <w:right w:val="single" w:color="auto" w:sz="8" w:space="0"/>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多次擅自组织信教公民到国外朝觐未成行的或者已经组织信教公民到境外朝觐的。</w:t>
            </w:r>
          </w:p>
        </w:tc>
        <w:tc>
          <w:tcPr>
            <w:tcW w:w="3485" w:type="dxa"/>
            <w:tcBorders>
              <w:top w:val="nil"/>
              <w:left w:val="nil"/>
              <w:bottom w:val="single" w:color="auto" w:sz="8" w:space="0"/>
              <w:right w:val="single" w:color="auto" w:sz="8" w:space="0"/>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责令停止活动；有违法所得，没收违法所得，并处违法所得2倍以上3倍以下的罚款。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ind w:left="0" w:right="0"/>
        <w:jc w:val="center"/>
        <w:rPr>
          <w:rFonts w:hint="default" w:ascii="Times New Roman" w:hAnsi="Times New Roman" w:cs="Times New Roman"/>
          <w:sz w:val="21"/>
          <w:szCs w:val="21"/>
        </w:rPr>
      </w:pPr>
      <w:r>
        <w:rPr>
          <w:rFonts w:hint="default" w:ascii="方正楷体简体" w:hAnsi="方正楷体简体" w:eastAsia="方正楷体简体" w:cs="方正楷体简体"/>
          <w:i w:val="0"/>
          <w:iCs w:val="0"/>
          <w:caps w:val="0"/>
          <w:color w:val="000000"/>
          <w:spacing w:val="0"/>
          <w:sz w:val="21"/>
          <w:szCs w:val="21"/>
          <w:bdr w:val="none" w:color="auto" w:sz="0" w:space="0"/>
          <w:shd w:val="clear" w:fill="FFFFFF"/>
        </w:rPr>
        <w:t>《河南省宗教事务条例》行政处罚裁量标准（试行）</w:t>
      </w:r>
    </w:p>
    <w:tbl>
      <w:tblPr>
        <w:tblW w:w="1321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Layout w:type="autofit"/>
        <w:tblCellMar>
          <w:top w:w="0" w:type="dxa"/>
          <w:left w:w="0" w:type="dxa"/>
          <w:bottom w:w="0" w:type="dxa"/>
          <w:right w:w="0" w:type="dxa"/>
        </w:tblCellMar>
      </w:tblPr>
      <w:tblGrid>
        <w:gridCol w:w="742"/>
        <w:gridCol w:w="2602"/>
        <w:gridCol w:w="645"/>
        <w:gridCol w:w="1345"/>
        <w:gridCol w:w="4391"/>
        <w:gridCol w:w="34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0" w:type="dxa"/>
            <w:left w:w="0" w:type="dxa"/>
            <w:bottom w:w="0" w:type="dxa"/>
            <w:right w:w="0" w:type="dxa"/>
          </w:tblCellMar>
        </w:tblPrEx>
        <w:trPr>
          <w:trHeight w:val="578" w:hRule="atLeast"/>
        </w:trPr>
        <w:tc>
          <w:tcPr>
            <w:tcW w:w="742"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序号</w:t>
            </w:r>
          </w:p>
        </w:tc>
        <w:tc>
          <w:tcPr>
            <w:tcW w:w="2602"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处罚依据</w:t>
            </w:r>
          </w:p>
        </w:tc>
        <w:tc>
          <w:tcPr>
            <w:tcW w:w="64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项</w:t>
            </w:r>
          </w:p>
        </w:tc>
        <w:tc>
          <w:tcPr>
            <w:tcW w:w="134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裁量阶次</w:t>
            </w:r>
          </w:p>
        </w:tc>
        <w:tc>
          <w:tcPr>
            <w:tcW w:w="4391"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违法行为表现情形</w:t>
            </w:r>
          </w:p>
        </w:tc>
        <w:tc>
          <w:tcPr>
            <w:tcW w:w="348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0" w:type="dxa"/>
            <w:left w:w="0" w:type="dxa"/>
            <w:bottom w:w="0" w:type="dxa"/>
            <w:right w:w="0" w:type="dxa"/>
          </w:tblCellMar>
        </w:tblPrEx>
        <w:trPr>
          <w:trHeight w:val="1728" w:hRule="atLeast"/>
        </w:trPr>
        <w:tc>
          <w:tcPr>
            <w:tcW w:w="742"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4</w:t>
            </w:r>
          </w:p>
        </w:tc>
        <w:tc>
          <w:tcPr>
            <w:tcW w:w="2602"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第三十条  非宗教团体、非宗教活动场所组织、举行宗教活动，接受布施、乜贴、奉献和其他宗教性捐赠的，由宗教事务部门责令停止活动；有违法所得的，没收违法所得；情节严重的，可以并处违法所得一倍以上三倍以下的罚款。</w:t>
            </w:r>
          </w:p>
        </w:tc>
        <w:tc>
          <w:tcPr>
            <w:tcW w:w="645"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134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4391"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非宗教团体、非宗教活动场所组织、举行宗教活动，接受布施、乜贴、奉献和其他宗教性捐赠，经宗教事务部门查处能够及时停止活动的。</w:t>
            </w:r>
          </w:p>
        </w:tc>
        <w:tc>
          <w:tcPr>
            <w:tcW w:w="348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责令停止活动。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0" w:type="dxa"/>
            <w:left w:w="0" w:type="dxa"/>
            <w:bottom w:w="0" w:type="dxa"/>
            <w:right w:w="0" w:type="dxa"/>
          </w:tblCellMar>
        </w:tblPrEx>
        <w:trPr>
          <w:trHeight w:val="1728" w:hRule="atLeast"/>
        </w:trPr>
        <w:tc>
          <w:tcPr>
            <w:tcW w:w="74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645"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34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4391"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非宗教团体、非宗教活动场所组织、举行宗教活动，接受布施、乜贴、奉献和其他宗教性捐赠，有违法所得的，经宗教事务部门查处能够停止活动的。</w:t>
            </w:r>
          </w:p>
        </w:tc>
        <w:tc>
          <w:tcPr>
            <w:tcW w:w="348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责令停止活动，没收违法所得。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0" w:type="dxa"/>
            <w:left w:w="0" w:type="dxa"/>
            <w:bottom w:w="0" w:type="dxa"/>
            <w:right w:w="0" w:type="dxa"/>
          </w:tblCellMar>
        </w:tblPrEx>
        <w:trPr>
          <w:trHeight w:val="1728" w:hRule="atLeast"/>
        </w:trPr>
        <w:tc>
          <w:tcPr>
            <w:tcW w:w="74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645"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34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4391"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非宗教团体、非宗教活动场所组织、举行宗教活动，接受布施、乜贴、奉献和其他宗教性捐赠，有违法所得的，经宗教事务部门查处后不停止活动的</w:t>
            </w:r>
          </w:p>
        </w:tc>
        <w:tc>
          <w:tcPr>
            <w:tcW w:w="348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责令停止活动，没收违法所得，并处违法所得1倍以上2倍以下的罚款。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0" w:type="dxa"/>
            <w:left w:w="0" w:type="dxa"/>
            <w:bottom w:w="0" w:type="dxa"/>
            <w:right w:w="0" w:type="dxa"/>
          </w:tblCellMar>
        </w:tblPrEx>
        <w:trPr>
          <w:trHeight w:val="1728" w:hRule="atLeast"/>
        </w:trPr>
        <w:tc>
          <w:tcPr>
            <w:tcW w:w="74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645"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34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特别严重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违法行为</w:t>
            </w:r>
          </w:p>
        </w:tc>
        <w:tc>
          <w:tcPr>
            <w:tcW w:w="4391"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非宗教团体、非宗教活动场所组织、举行宗教活动，接受布施、乜贴、奉献和其他宗教性捐赠，有违法所得的，经宗教事务部门查处后不停止活动，在社会上产生不良影响的</w:t>
            </w:r>
          </w:p>
        </w:tc>
        <w:tc>
          <w:tcPr>
            <w:tcW w:w="3485"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责令停止活动；没收违法所得，并处违法所得2倍以上3倍以下的罚款。</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p>
    <w:tbl>
      <w:tblPr>
        <w:tblW w:w="1321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Layout w:type="autofit"/>
        <w:tblCellMar>
          <w:top w:w="0" w:type="dxa"/>
          <w:left w:w="0" w:type="dxa"/>
          <w:bottom w:w="0" w:type="dxa"/>
          <w:right w:w="0" w:type="dxa"/>
        </w:tblCellMar>
      </w:tblPr>
      <w:tblGrid>
        <w:gridCol w:w="743"/>
        <w:gridCol w:w="2602"/>
        <w:gridCol w:w="700"/>
        <w:gridCol w:w="1332"/>
        <w:gridCol w:w="3009"/>
        <w:gridCol w:w="48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0" w:type="dxa"/>
            <w:left w:w="0" w:type="dxa"/>
            <w:bottom w:w="0" w:type="dxa"/>
            <w:right w:w="0" w:type="dxa"/>
          </w:tblCellMar>
        </w:tblPrEx>
        <w:trPr>
          <w:trHeight w:val="578" w:hRule="atLeast"/>
        </w:trPr>
        <w:tc>
          <w:tcPr>
            <w:tcW w:w="743"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序号</w:t>
            </w:r>
          </w:p>
        </w:tc>
        <w:tc>
          <w:tcPr>
            <w:tcW w:w="2602"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处罚依据</w:t>
            </w:r>
          </w:p>
        </w:tc>
        <w:tc>
          <w:tcPr>
            <w:tcW w:w="700"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项</w:t>
            </w:r>
          </w:p>
        </w:tc>
        <w:tc>
          <w:tcPr>
            <w:tcW w:w="1332"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裁量阶次</w:t>
            </w:r>
          </w:p>
        </w:tc>
        <w:tc>
          <w:tcPr>
            <w:tcW w:w="3009"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违法行为表现情形</w:t>
            </w:r>
          </w:p>
        </w:tc>
        <w:tc>
          <w:tcPr>
            <w:tcW w:w="4824"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黑体" w:hAnsi="宋体" w:eastAsia="黑体" w:cs="黑体"/>
                <w:sz w:val="24"/>
                <w:szCs w:val="24"/>
                <w:bdr w:val="none" w:color="auto" w:sz="0" w:space="0"/>
              </w:rPr>
              <w:t>处罚标准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0" w:type="dxa"/>
            <w:left w:w="0" w:type="dxa"/>
            <w:bottom w:w="0" w:type="dxa"/>
            <w:right w:w="0" w:type="dxa"/>
          </w:tblCellMar>
        </w:tblPrEx>
        <w:trPr>
          <w:trHeight w:val="2523" w:hRule="atLeast"/>
        </w:trPr>
        <w:tc>
          <w:tcPr>
            <w:tcW w:w="743"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4</w:t>
            </w:r>
          </w:p>
        </w:tc>
        <w:tc>
          <w:tcPr>
            <w:tcW w:w="2602"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第三十一条  擅自举办跨地区大型宗教活动的，由宗教事务部门责令停止活动；有违法所得的，没收违法所得，可以并处违法所得一倍以上三倍以下的罚款；其中，跨地区宗教活动是宗教团体、宗教活动场所擅自举办的，登记管理机关还可以责令该宗教团体、宗教活动场所撤换直接负责的主管人员。</w:t>
            </w:r>
          </w:p>
        </w:tc>
        <w:tc>
          <w:tcPr>
            <w:tcW w:w="700" w:type="dxa"/>
            <w:vMerge w:val="restart"/>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1332"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轻微违法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009"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擅自举办跨地区大型宗教活动，经宗教事务部门查处能够立即停止活动的。</w:t>
            </w:r>
          </w:p>
        </w:tc>
        <w:tc>
          <w:tcPr>
            <w:tcW w:w="4824"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责令停止活动；有违法所得的，没收违法所得，并处违法所得1倍罚款。其中，大型宗教活动是宗教团体、宗教活动场所擅自举办的，登记管理机关还可以责令该宗教团体、宗教活动场所撤换直接负责的主管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0" w:type="dxa"/>
            <w:left w:w="0" w:type="dxa"/>
            <w:bottom w:w="0" w:type="dxa"/>
            <w:right w:w="0" w:type="dxa"/>
          </w:tblCellMar>
        </w:tblPrEx>
        <w:trPr>
          <w:trHeight w:val="2523"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700"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332"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一般违法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009"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擅自举办跨地区大型宗教活动，经宗教事务部门查处后在限期内能停止活动的。</w:t>
            </w:r>
          </w:p>
        </w:tc>
        <w:tc>
          <w:tcPr>
            <w:tcW w:w="4824"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责令停止活动；有违法所得的，没收违法所得，并处违法所得1倍以上2倍以下罚款。其中，大型宗教活动是宗教团体、宗教活动场所擅自举办的，登记管理机关还可以责令该宗教团体、宗教活动场所撤换直接负责的主管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0" w:type="dxa"/>
            <w:left w:w="0" w:type="dxa"/>
            <w:bottom w:w="0" w:type="dxa"/>
            <w:right w:w="0" w:type="dxa"/>
          </w:tblCellMar>
        </w:tblPrEx>
        <w:trPr>
          <w:trHeight w:val="2523" w:hRule="atLeast"/>
        </w:trPr>
        <w:tc>
          <w:tcPr>
            <w:tcW w:w="743"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2602"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700" w:type="dxa"/>
            <w:vMerge w:val="continue"/>
            <w:tcBorders>
              <w:tl2br w:val="nil"/>
              <w:tr2bl w:val="nil"/>
            </w:tcBorders>
            <w:shd w:val="clear"/>
            <w:tcMar>
              <w:left w:w="28" w:type="dxa"/>
              <w:right w:w="28" w:type="dxa"/>
            </w:tcMar>
            <w:vAlign w:val="center"/>
          </w:tcPr>
          <w:p>
            <w:pPr>
              <w:rPr>
                <w:rFonts w:hint="default" w:ascii="Times New Roman" w:hAnsi="Times New Roman" w:cs="Times New Roman"/>
                <w:sz w:val="18"/>
                <w:szCs w:val="18"/>
              </w:rPr>
            </w:pPr>
          </w:p>
        </w:tc>
        <w:tc>
          <w:tcPr>
            <w:tcW w:w="1332"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严重违法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行为</w:t>
            </w:r>
          </w:p>
        </w:tc>
        <w:tc>
          <w:tcPr>
            <w:tcW w:w="3009"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擅自举办跨地区大型宗教活动，经宗教事务部门查处后在限期内未停止活动，在社会上造成不良影响的。</w:t>
            </w:r>
          </w:p>
        </w:tc>
        <w:tc>
          <w:tcPr>
            <w:tcW w:w="4824" w:type="dxa"/>
            <w:tcBorders>
              <w:tl2br w:val="nil"/>
              <w:tr2bl w:val="nil"/>
            </w:tcBorders>
            <w:shd w:val="clear"/>
            <w:tcMar>
              <w:left w:w="28" w:type="dxa"/>
              <w:right w:w="2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责令停止活动；有违法所得的，没收违法所得，并处违法所得2倍以上3倍以下罚款。其中，大型宗教活动是宗教团体、宗教活动场所擅自举办的，登记管理机关还可以责令该宗教团体、宗教活动场所撤换直接负责的主管人员。</w:t>
            </w:r>
          </w:p>
        </w:tc>
      </w:tr>
    </w:tbl>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汉仪大宋简" w:hAnsi="汉仪大宋简" w:eastAsia="汉仪大宋简" w:cs="汉仪大宋简"/>
          <w:i w:val="0"/>
          <w:iCs w:val="0"/>
          <w:caps w:val="0"/>
          <w:color w:val="000000"/>
          <w:spacing w:val="0"/>
          <w:sz w:val="44"/>
          <w:szCs w:val="4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汉仪大宋简" w:hAnsi="汉仪大宋简" w:eastAsia="汉仪大宋简" w:cs="汉仪大宋简"/>
          <w:i w:val="0"/>
          <w:iCs w:val="0"/>
          <w:caps w:val="0"/>
          <w:color w:val="000000"/>
          <w:spacing w:val="0"/>
          <w:sz w:val="44"/>
          <w:szCs w:val="4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汉仪大宋简" w:hAnsi="汉仪大宋简" w:eastAsia="汉仪大宋简" w:cs="汉仪大宋简"/>
          <w:i w:val="0"/>
          <w:iCs w:val="0"/>
          <w:caps w:val="0"/>
          <w:color w:val="000000"/>
          <w:spacing w:val="0"/>
          <w:sz w:val="44"/>
          <w:szCs w:val="44"/>
          <w:bdr w:val="none" w:color="auto" w:sz="0" w:space="0"/>
          <w:shd w:val="clear" w:fill="FFFFFF"/>
        </w:rPr>
        <w:sectPr>
          <w:pgSz w:w="16838" w:h="11906" w:orient="landscape"/>
          <w:pgMar w:top="1588" w:right="2041" w:bottom="1588" w:left="1758" w:header="851" w:footer="1474" w:gutter="0"/>
          <w:pgBorders w:display="firstPage">
            <w:bottom w:val="thickThinMediumGap" w:color="FF0000" w:sz="24" w:space="1"/>
          </w:pgBorders>
          <w:pgNumType w:fmt="numberInDash"/>
          <w:cols w:space="720" w:num="1"/>
          <w:titlePg/>
          <w:docGrid w:type="linesAndChars" w:linePitch="592" w:charSpace="-1683"/>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rPr>
      </w:pPr>
      <w:r>
        <w:rPr>
          <w:rFonts w:hint="default" w:ascii="汉仪大宋简" w:hAnsi="汉仪大宋简" w:eastAsia="汉仪大宋简" w:cs="汉仪大宋简"/>
          <w:i w:val="0"/>
          <w:iCs w:val="0"/>
          <w:caps w:val="0"/>
          <w:color w:val="000000"/>
          <w:spacing w:val="0"/>
          <w:sz w:val="44"/>
          <w:szCs w:val="44"/>
          <w:bdr w:val="none" w:color="auto" w:sz="0" w:space="0"/>
          <w:shd w:val="clear" w:fill="FFFFFF"/>
        </w:rPr>
        <w:t>河南省民族宗教行政处罚裁量标准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rPr>
      </w:pPr>
      <w:r>
        <w:rPr>
          <w:rFonts w:hint="default" w:ascii="汉仪大宋简" w:hAnsi="汉仪大宋简" w:eastAsia="汉仪大宋简" w:cs="汉仪大宋简"/>
          <w:i w:val="0"/>
          <w:iCs w:val="0"/>
          <w:caps w:val="0"/>
          <w:color w:val="000000"/>
          <w:spacing w:val="0"/>
          <w:sz w:val="44"/>
          <w:szCs w:val="44"/>
          <w:bdr w:val="none" w:color="auto" w:sz="0" w:space="0"/>
          <w:shd w:val="clear" w:fill="FFFFFF"/>
        </w:rPr>
        <w:t>适用规则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ascii="仿宋" w:hAnsi="仿宋" w:eastAsia="仿宋" w:cs="仿宋"/>
          <w:i w:val="0"/>
          <w:iCs w:val="0"/>
          <w:caps w:val="0"/>
          <w:color w:val="000000"/>
          <w:spacing w:val="0"/>
          <w:sz w:val="32"/>
          <w:szCs w:val="32"/>
          <w:bdr w:val="none" w:color="auto" w:sz="0" w:space="0"/>
          <w:shd w:val="clear" w:fill="FFFFFF"/>
        </w:rPr>
        <w:t>第一条　为规范行政处罚裁量权的行使，促进行政处罚行为公平、公正，提高行政执法水平，根据《河南省人民政府关于规范行政处罚裁量权的若干意见》（豫政〔</w:t>
      </w:r>
      <w:r>
        <w:rPr>
          <w:rFonts w:hint="eastAsia" w:ascii="仿宋" w:hAnsi="仿宋" w:eastAsia="仿宋" w:cs="仿宋"/>
          <w:i w:val="0"/>
          <w:iCs w:val="0"/>
          <w:caps w:val="0"/>
          <w:color w:val="000000"/>
          <w:spacing w:val="0"/>
          <w:sz w:val="32"/>
          <w:szCs w:val="32"/>
          <w:bdr w:val="none" w:color="auto" w:sz="0" w:space="0"/>
          <w:shd w:val="clear" w:fill="FFFFFF"/>
        </w:rPr>
        <w:t>2008〕57号）的有关规定，制定本规则。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第二条　各级民族（宗教）事务部门实施行政处罚，应当坚持处罚法定、公正公开、处罚与教育相结合、保障当事人权利等原则。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第三条　各级民族（宗教）事务部门实施省民族（宗教）事务部门制定的行政处罚裁量标准，应当贯彻执行相关法律、法规、规章的规定，并遵循下列要求：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shd w:val="clear" w:fill="FFFFFF"/>
        </w:rPr>
        <w:t>（一）在法律、法规、规章规定的范围内适用行政处罚裁量标准，不得超越。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shd w:val="clear" w:fill="FFFFFF"/>
        </w:rPr>
        <w:t>（二）必须符合法律、法规、规章的立法目的和宗旨；排除不相关因素的干扰；所采取的措施和手段应当必要、适当；可以采取两种以上方式实现行政管理目的的，应当避免采取损害当事人权益的方式。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shd w:val="clear" w:fill="FFFFFF"/>
        </w:rPr>
        <w:t>（三）当事人有下列情形之一的，依法不予行政处罚：不满14周岁的人有违法行为的；精神病人在不能辨认或者不能控制自己行为时有违法行为的；违法行为轻微并及时纠正、没有造成危害后果的；违法行为在两年内未被发现的；其他依法不予行政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shd w:val="clear" w:fill="FFFFFF"/>
        </w:rPr>
        <w:t>（四）已满1</w:t>
      </w:r>
      <w:r>
        <w:rPr>
          <w:rFonts w:hint="eastAsia" w:ascii="仿宋" w:hAnsi="仿宋" w:eastAsia="仿宋" w:cs="仿宋"/>
          <w:i w:val="0"/>
          <w:iCs w:val="0"/>
          <w:caps w:val="0"/>
          <w:color w:val="000000"/>
          <w:spacing w:val="-4"/>
          <w:sz w:val="32"/>
          <w:szCs w:val="32"/>
          <w:bdr w:val="none" w:color="auto" w:sz="0" w:space="0"/>
          <w:shd w:val="clear" w:fill="FFFFFF"/>
        </w:rPr>
        <w:t>4周岁不满18周岁的人有违法行为的，主动消除或者减轻违法行为危害后果的，受他人胁迫有违法行为的，配合行政机关查处违法行为有立功表现的，可以依法适用从轻或者减轻的处罚标准。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shd w:val="clear" w:fill="FFFFFF"/>
        </w:rPr>
        <w:t>（五）违法行为情节恶劣、危害后果较重的，不听劝阻、继续实施违法行为的，在共同实施违法行为中起主要作用的，多次实施违法行为、屡教不改的，采取的行为足以妨碍执法人员查处违法案件的，隐匿、销毁违法证据的，可以依法适用从重的处罚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shd w:val="clear" w:fill="FFFFFF"/>
        </w:rPr>
        <w:t>（六）违法行为给公共安全、人身健康和生命财产安全、生态环境保护造成严重危害的，扰乱社会管理秩序、市场经济秩序造成严重危害后果的，胁迫、诱骗他人实施违法行为情节严重的，打击报复报案人、控告人、举报人、证人、鉴定人有危害后果的，在发生自然灾害、突发公共事件情况下实施违法行为的，可以在法定量罚幅度内适用最高限的处罚标准。当事人涉嫌犯罪的，应当移送司法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shd w:val="clear" w:fill="FFFFFF"/>
        </w:rPr>
        <w:t>（七）各级民族（宗教）事务部门对于违法情节、性质、事实、社会危害程度基本相同的违法行为，应当给予基本相同的行政处罚。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第四条　法律、法规、规章规定可以单处也可以并处的，违法行为事实、性质、情节和社会危害程度较轻的适用单处，违法行为事实、性质、情节和社会危害程度较重的适用并处。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第五条　适用法律、法规、规章，应当遵循下列原则：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shd w:val="clear" w:fill="FFFFFF"/>
        </w:rPr>
        <w:t>(一)上位法优于下位法；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shd w:val="clear" w:fill="FFFFFF"/>
        </w:rPr>
        <w:t>(二)同一机关制定的法律、行政法规、地方性法规、规章，特别规定与一般规定不一致的，适用特别规定；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shd w:val="clear" w:fill="FFFFFF"/>
        </w:rPr>
        <w:t>(三)　同一机关制定的法律、行政法规、地方性法规、规章，新的规定与旧的规定不一致的，适用新的规定；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shd w:val="clear" w:fill="FFFFFF"/>
        </w:rPr>
        <w:t>（四）法律、法规、规章规定的其他原则。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第六条　省民族（宗教）事务部门对本机关、省辖市、县民族（宗教）事务部门执行行政处罚裁量标准、适用规则、案件主办人制度、案件法律审核制度、裁量说明告知制度、案例指导制度的情况，每年进行检查，了解存在问题，纠正违法和不当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第七条　本规则由省民委（省宗教局）负责解释。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第八条　本规则自发布之日起施行。</w:t>
      </w:r>
    </w:p>
    <w:p>
      <w:pPr>
        <w:widowControl/>
        <w:spacing w:line="720" w:lineRule="exact"/>
        <w:jc w:val="center"/>
        <w:rPr>
          <w:rFonts w:eastAsia="方正小标宋简体"/>
          <w:sz w:val="44"/>
          <w:szCs w:val="44"/>
        </w:rPr>
      </w:pPr>
    </w:p>
    <w:p>
      <w:pPr>
        <w:widowControl/>
        <w:spacing w:line="720" w:lineRule="exact"/>
        <w:jc w:val="center"/>
        <w:rPr>
          <w:rFonts w:eastAsia="方正小标宋简体"/>
          <w:sz w:val="44"/>
          <w:szCs w:val="44"/>
        </w:rPr>
      </w:pPr>
    </w:p>
    <w:p>
      <w:pPr>
        <w:widowControl/>
        <w:spacing w:line="720" w:lineRule="exact"/>
        <w:jc w:val="right"/>
        <w:rPr>
          <w:rFonts w:eastAsia="方正小标宋简体"/>
          <w:sz w:val="44"/>
          <w:szCs w:val="44"/>
        </w:rPr>
      </w:pPr>
    </w:p>
    <w:p>
      <w:pPr>
        <w:rPr>
          <w:rFonts w:ascii="仿宋" w:hAnsi="仿宋" w:eastAsia="仿宋" w:cs="仿宋"/>
          <w:sz w:val="32"/>
          <w:szCs w:val="32"/>
        </w:rPr>
      </w:pPr>
    </w:p>
    <w:sectPr>
      <w:pgSz w:w="11906" w:h="16838"/>
      <w:pgMar w:top="2041" w:right="1588" w:bottom="1757" w:left="1588" w:header="851" w:footer="1474" w:gutter="0"/>
      <w:paperSrc/>
      <w:pgBorders w:display="firstPage">
        <w:bottom w:val="thickThinMediumGap" w:color="FF0000" w:sz="24" w:space="1"/>
      </w:pgBorders>
      <w:pgNumType w:fmt="numberInDash"/>
      <w:cols w:space="0" w:num="1"/>
      <w:titlePg/>
      <w:rtlGutter w:val="0"/>
      <w:docGrid w:type="linesAndChars" w:linePitch="592" w:charSpace="-14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汉仪大宋简">
    <w:altName w:val="宋体"/>
    <w:panose1 w:val="00000000000000000000"/>
    <w:charset w:val="00"/>
    <w:family w:val="auto"/>
    <w:pitch w:val="default"/>
    <w:sig w:usb0="00000000" w:usb1="00000000" w:usb2="00000000" w:usb3="00000000" w:csb0="00000000" w:csb1="00000000"/>
  </w:font>
  <w:font w:name="方正楷体简体">
    <w:altName w:val="楷体_GB2312"/>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sz w:val="28"/>
        <w:szCs w:val="28"/>
      </w:rPr>
    </w:pPr>
    <w:r>
      <w:rPr>
        <w:rFonts w:ascii="Calibri" w:hAnsi="Calibri" w:eastAsia="宋体" w:cs="Times New Roman"/>
        <w:kern w:val="2"/>
        <w:sz w:val="2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p>
                      </w:txbxContent>
                    </wps:txbx>
                    <wps:bodyPr wrap="none" lIns="0" tIns="0" rIns="0" bIns="0" upright="1">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FQINMgBAACY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92V2&#10;pw9QY9N9wLY0vPND7pzygMkselDR5jfKIVhHb89Xb+WQiMgfrVfrdYUlgbX5gDjs4fMQIb2X3pIc&#10;NDTi5RVP+ekjpLF1bsnTnL/TxmCe18b9k0DMnGGZ+8gxR2nYDxPxvW/PqKfHe2+owzWnxHxwaGte&#10;kTmIc7Cfg2OI+tAhtWXhBeH2mJBE4ZYnjLDTYLywom5arrwRj8+l6+GH2v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BUCDTIAQAAmAMAAA4AAAAAAAAAAQAgAAAAHgEAAGRycy9lMm9Eb2Mu&#10;eG1sUEsFBgAAAAAGAAYAWQEAAFg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both"/>
      <w:rPr>
        <w:sz w:val="28"/>
        <w:szCs w:val="28"/>
      </w:rPr>
    </w:pPr>
    <w:r>
      <w:rPr>
        <w:rFonts w:ascii="Calibri" w:hAnsi="Calibri" w:eastAsia="宋体" w:cs="Times New Roman"/>
        <w:kern w:val="2"/>
        <w:sz w:val="2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28"/>
                            </w:rPr>
                          </w:pPr>
                          <w:r>
                            <w:rPr>
                              <w:rFonts w:hint="eastAsia"/>
                              <w:sz w:val="28"/>
                            </w:rPr>
                            <w:fldChar w:fldCharType="begin"/>
                          </w:r>
                          <w:r>
                            <w:rPr>
                              <w:rFonts w:hint="eastAsia"/>
                              <w:sz w:val="28"/>
                            </w:rPr>
                            <w:instrText xml:space="preserve"> PAGE  \* MERGEFORMAT </w:instrText>
                          </w:r>
                          <w:r>
                            <w:rPr>
                              <w:rFonts w:hint="eastAsia"/>
                              <w:sz w:val="28"/>
                            </w:rPr>
                            <w:fldChar w:fldCharType="separate"/>
                          </w:r>
                          <w:r>
                            <w:rPr>
                              <w:sz w:val="28"/>
                            </w:rPr>
                            <w:t>- 2 -</w:t>
                          </w:r>
                          <w:r>
                            <w:rPr>
                              <w:rFonts w:hint="eastAsia"/>
                              <w:sz w:val="28"/>
                            </w:rPr>
                            <w:fldChar w:fldCharType="end"/>
                          </w:r>
                        </w:p>
                      </w:txbxContent>
                    </wps:txbx>
                    <wps:bodyPr wrap="none" lIns="0" tIns="0" rIns="0" bIns="0" upright="1">
                      <a:spAutoFit/>
                    </wps:bodyPr>
                  </wps:wsp>
                </a:graphicData>
              </a:graphic>
            </wp:anchor>
          </w:drawing>
        </mc:Choice>
        <mc:Fallback>
          <w:pict>
            <v:shape id="文本框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RQ6X8gBAACY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b1K&#10;3ek91Jj06DEtDh/cgDsz+wGdSfQgg0lflEMwjr09XXorhkh4erSqVqsSQxxj8wXxi6fnPkD8KJwh&#10;yWhowOHlnrLjPcQxdU5J1ay7U1rnAWr7jwMxk6dI3EeOyYrDbpgE7Vx7Qj09zr2hFtecEv3JYlvT&#10;isxGmI3dbBx8UPsOqS0zL/C3h4gkMrdUYYSdCuPAsrppudJGPL/nrKcfavM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EUOl/IAQAAmAMAAA4AAAAAAAAAAQAgAAAAHgEAAGRycy9lMm9Eb2Mu&#10;eG1sUEsFBgAAAAAGAAYAWQEAAFgFAAAAAA==&#10;">
              <v:fill on="f" focussize="0,0"/>
              <v:stroke on="f"/>
              <v:imagedata o:title=""/>
              <o:lock v:ext="edit" aspectratio="f"/>
              <v:textbox inset="0mm,0mm,0mm,0mm" style="mso-fit-shape-to-text:t;">
                <w:txbxContent>
                  <w:p>
                    <w:pPr>
                      <w:snapToGrid w:val="0"/>
                      <w:rPr>
                        <w:sz w:val="28"/>
                      </w:rPr>
                    </w:pPr>
                    <w:r>
                      <w:rPr>
                        <w:rFonts w:hint="eastAsia"/>
                        <w:sz w:val="28"/>
                      </w:rPr>
                      <w:fldChar w:fldCharType="begin"/>
                    </w:r>
                    <w:r>
                      <w:rPr>
                        <w:rFonts w:hint="eastAsia"/>
                        <w:sz w:val="28"/>
                      </w:rPr>
                      <w:instrText xml:space="preserve"> PAGE  \* MERGEFORMAT </w:instrText>
                    </w:r>
                    <w:r>
                      <w:rPr>
                        <w:rFonts w:hint="eastAsia"/>
                        <w:sz w:val="28"/>
                      </w:rPr>
                      <w:fldChar w:fldCharType="separate"/>
                    </w:r>
                    <w:r>
                      <w:rPr>
                        <w:sz w:val="28"/>
                      </w:rPr>
                      <w:t>- 2 -</w:t>
                    </w:r>
                    <w:r>
                      <w:rPr>
                        <w:rFonts w:hint="eastAsia"/>
                        <w:sz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2"/>
  <w:drawingGridVerticalSpacing w:val="156"/>
  <w:displayHorizontalDrawingGridEvery w:val="2"/>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B91393"/>
    <w:rsid w:val="1ADA202A"/>
    <w:rsid w:val="1C7C0A00"/>
    <w:rsid w:val="40E51F74"/>
    <w:rsid w:val="6C3C47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eastAsia="仿宋_GB2312"/>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批注框文本 Char Char"/>
    <w:basedOn w:val="1"/>
    <w:link w:val="8"/>
    <w:qFormat/>
    <w:uiPriority w:val="0"/>
    <w:rPr>
      <w:rFonts w:ascii="Calibri" w:hAnsi="Calibri" w:eastAsia="宋体"/>
      <w:kern w:val="2"/>
      <w:sz w:val="18"/>
      <w:szCs w:val="18"/>
    </w:rPr>
  </w:style>
  <w:style w:type="character" w:customStyle="1" w:styleId="8">
    <w:name w:val="批注框文本 字符"/>
    <w:link w:val="7"/>
    <w:semiHidden/>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www.jujumao.org</Company>
  <Pages>17</Pages>
  <Words>770</Words>
  <Characters>4393</Characters>
  <Lines>36</Lines>
  <Paragraphs>10</Paragraphs>
  <TotalTime>30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2019-02-25T17:14:00Z</dcterms:created>
  <dc:creator>Administrator</dc:creator>
  <cp:lastModifiedBy>我真的爱学习</cp:lastModifiedBy>
  <cp:lastPrinted>2021-11-29T08:19:01Z</cp:lastPrinted>
  <dcterms:modified xsi:type="dcterms:W3CDTF">2021-11-29T12:06:39Z</dcterms:modified>
  <dc:title>金格科技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484564108_btnclosed</vt:lpwstr>
  </property>
  <property fmtid="{D5CDD505-2E9C-101B-9397-08002B2CF9AE}" pid="4" name="ICV">
    <vt:lpwstr>B27C3FDE0D744AA3BB64F4B8852DF115</vt:lpwstr>
  </property>
</Properties>
</file>