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eastAsia="方正小标宋_GBK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_GBK" w:eastAsia="方正小标宋_GBK" w:cs="方正小标宋简体"/>
          <w:color w:val="000000"/>
          <w:kern w:val="0"/>
          <w:sz w:val="40"/>
          <w:szCs w:val="40"/>
        </w:rPr>
        <w:t>平顶山市</w:t>
      </w:r>
      <w:r>
        <w:rPr>
          <w:rFonts w:hint="eastAsia" w:ascii="方正小标宋_GBK" w:eastAsia="方正小标宋_GBK"/>
          <w:color w:val="000000"/>
          <w:kern w:val="0"/>
          <w:sz w:val="40"/>
          <w:szCs w:val="40"/>
        </w:rPr>
        <w:t>2018</w:t>
      </w:r>
      <w:r>
        <w:rPr>
          <w:rFonts w:hint="eastAsia" w:ascii="方正小标宋_GBK" w:eastAsia="方正小标宋_GBK" w:cs="方正小标宋简体"/>
          <w:color w:val="000000"/>
          <w:kern w:val="0"/>
          <w:sz w:val="40"/>
          <w:szCs w:val="40"/>
        </w:rPr>
        <w:t>年国民经济和</w:t>
      </w:r>
    </w:p>
    <w:p>
      <w:pPr>
        <w:spacing w:line="700" w:lineRule="exact"/>
        <w:jc w:val="center"/>
        <w:rPr>
          <w:rFonts w:hint="eastAsia" w:ascii="方正小标宋_GBK" w:eastAsia="方正小标宋_GBK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_GBK" w:eastAsia="方正小标宋_GBK" w:cs="方正小标宋简体"/>
          <w:color w:val="000000"/>
          <w:kern w:val="0"/>
          <w:sz w:val="40"/>
          <w:szCs w:val="40"/>
        </w:rPr>
        <w:t>社会发展计划主要指标</w:t>
      </w:r>
    </w:p>
    <w:p>
      <w:pPr>
        <w:spacing w:line="440" w:lineRule="exact"/>
        <w:jc w:val="center"/>
        <w:rPr>
          <w:rFonts w:eastAsia="方正小标宋简体"/>
          <w:color w:val="000000"/>
          <w:szCs w:val="32"/>
        </w:rPr>
      </w:pPr>
    </w:p>
    <w:tbl>
      <w:tblPr>
        <w:tblStyle w:val="5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80"/>
        <w:gridCol w:w="990"/>
        <w:gridCol w:w="90"/>
        <w:gridCol w:w="277"/>
        <w:gridCol w:w="623"/>
        <w:gridCol w:w="1080"/>
        <w:gridCol w:w="208"/>
        <w:gridCol w:w="692"/>
        <w:gridCol w:w="994"/>
        <w:gridCol w:w="44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676"/>
              </w:tabs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标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计算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bCs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年计划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bCs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年实际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bCs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年计划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绝对值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增长％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绝对值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增长％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绝对值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Hei"/>
                <w:color w:val="000000"/>
                <w:kern w:val="0"/>
                <w:sz w:val="20"/>
                <w:szCs w:val="20"/>
              </w:rPr>
              <w:t>增长％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SimHei" w:hAnsi="SimHei" w:eastAsia="SimHe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bCs/>
                <w:color w:val="000000"/>
                <w:kern w:val="0"/>
                <w:sz w:val="20"/>
                <w:szCs w:val="20"/>
              </w:rPr>
              <w:t>一、经济发展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bottom"/>
          </w:tcPr>
          <w:p>
            <w:pPr>
              <w:widowControl/>
              <w:spacing w:line="360" w:lineRule="exact"/>
              <w:jc w:val="righ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360" w:lineRule="exact"/>
              <w:jc w:val="righ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righ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/>
              <w:spacing w:line="360" w:lineRule="exact"/>
              <w:jc w:val="righ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jc w:val="righ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全市生产总值</w:t>
            </w:r>
            <w:r>
              <w:rPr>
                <w:rFonts w:hint="eastAsia" w:ascii="FangSong_GB2312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7.5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第一产业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173.9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其中：粮食产量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206.2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490" w:firstLineChars="250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第二产业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984.3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7.5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规模以上工业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7.5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其中：发电量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193.9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第三产业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9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857.1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9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投资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固定资产投资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1945.2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10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市场消费和价格指数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社会消费品零售总额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856.5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864.5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11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居民消费价格指数（上年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=100</w:t>
            </w: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103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左右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right="160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100.8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103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以内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对外开放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货物进出口总额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稳定增长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381801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393255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外商直接投资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万美元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完成省定目标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44082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45405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城镇化水平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常住人口城镇化率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提高</w:t>
            </w:r>
            <w:r>
              <w:rPr>
                <w:rFonts w:hint="eastAsia" w:ascii="FangSong_GB2312"/>
                <w:color w:val="000000"/>
                <w:sz w:val="20"/>
                <w:szCs w:val="20"/>
              </w:rPr>
              <w:t>1.4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个百分点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提高</w:t>
            </w:r>
            <w:r>
              <w:rPr>
                <w:rFonts w:hint="eastAsia" w:ascii="FangSong_GB2312"/>
                <w:color w:val="000000"/>
                <w:sz w:val="20"/>
                <w:szCs w:val="20"/>
              </w:rPr>
              <w:t>1.6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个百分点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提高</w:t>
            </w:r>
            <w:r>
              <w:rPr>
                <w:rFonts w:hint="eastAsia" w:ascii="FangSong_GB2312"/>
                <w:color w:val="000000"/>
                <w:sz w:val="20"/>
                <w:szCs w:val="20"/>
              </w:rPr>
              <w:t>1.5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个百分点以上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户籍人口城镇化率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34.65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提高</w:t>
            </w:r>
            <w:r>
              <w:rPr>
                <w:rFonts w:hint="eastAsia" w:ascii="FangSong_GB2312"/>
                <w:color w:val="000000"/>
                <w:sz w:val="20"/>
                <w:szCs w:val="20"/>
              </w:rPr>
              <w:t>1.7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个百分点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35.6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提高</w:t>
            </w:r>
            <w:r>
              <w:rPr>
                <w:rFonts w:hint="eastAsia" w:ascii="FangSong_GB2312"/>
                <w:color w:val="000000"/>
                <w:sz w:val="20"/>
                <w:szCs w:val="20"/>
              </w:rPr>
              <w:t>2.68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个百分点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提高</w:t>
            </w:r>
            <w:r>
              <w:rPr>
                <w:rFonts w:hint="eastAsia" w:ascii="FangSong_GB2312"/>
                <w:color w:val="000000"/>
                <w:sz w:val="20"/>
                <w:szCs w:val="20"/>
              </w:rPr>
              <w:t>0.4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个百分点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财政金融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一般公共预算收入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130.7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137.5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11.3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154.2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12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一般公共预算支出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223.7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317.5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15.2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273.4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社会融资规模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247.8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250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SimHei" w:hAnsi="SimHei" w:eastAsia="SimHe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color w:val="000000"/>
                <w:kern w:val="0"/>
                <w:sz w:val="20"/>
                <w:szCs w:val="20"/>
              </w:rPr>
              <w:t>二、创新驱动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科技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研究与试验发展经费投入强度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1.77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firstLine="196" w:firstLineChars="100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每万人口发明专利拥有量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1.59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2.08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2.62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九年义务教育巩固率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98.9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98.9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98.9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高中阶段教育毛入学率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SimHei" w:hAnsi="SimHei" w:eastAsia="SimHe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bCs/>
                <w:color w:val="000000"/>
                <w:kern w:val="0"/>
                <w:sz w:val="20"/>
                <w:szCs w:val="20"/>
              </w:rPr>
              <w:t>三、节约环保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资源节约利用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能源消费总量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标准煤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1073.28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以内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1049.03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1.64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1096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万元生产总值能耗降低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完成省定目标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万元生产总值二氧化碳排放量降低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完成省下达目标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完成省定目标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完成省定目标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万元生产总值用水量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32.2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营造林面积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万亩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39.8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47.97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城市空气质量优良天数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219</w:t>
            </w: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细微颗粒物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(PM2.5)</w:t>
            </w: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年均浓度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微克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/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63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可吸入颗粒物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(PM10)</w:t>
            </w: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年均浓度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微克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/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106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地表水质达到或好于</w:t>
            </w:r>
            <w:r>
              <w:rPr>
                <w:rFonts w:hint="eastAsia" w:ascii="FangSong_GB2312" w:hAnsi="SimSun" w:cs="SimSun"/>
                <w:color w:val="000000"/>
                <w:kern w:val="0"/>
                <w:sz w:val="20"/>
                <w:szCs w:val="20"/>
              </w:rPr>
              <w:t>Ⅲ</w:t>
            </w: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类水体比例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以上（力争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地表水质劣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V</w:t>
            </w: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类水体比例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26.3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w w:val="90"/>
                <w:kern w:val="0"/>
                <w:sz w:val="20"/>
                <w:szCs w:val="20"/>
              </w:rPr>
              <w:t>15.9</w:t>
            </w:r>
            <w:r>
              <w:rPr>
                <w:rFonts w:hint="eastAsia" w:ascii="FangSong_GB2312" w:cs="SimSun"/>
                <w:color w:val="000000"/>
                <w:w w:val="90"/>
                <w:kern w:val="0"/>
                <w:sz w:val="20"/>
                <w:szCs w:val="20"/>
              </w:rPr>
              <w:t>以下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城市污水处理率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城市生活垃圾无害化处理率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93.5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SimHei" w:hAnsi="SimHei" w:eastAsia="SimHe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bCs/>
                <w:color w:val="000000"/>
                <w:kern w:val="0"/>
                <w:sz w:val="20"/>
                <w:szCs w:val="20"/>
              </w:rPr>
              <w:t>四、民生保障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就业与收入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城镇新增就业人数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万人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7.37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5.78</w:t>
            </w:r>
          </w:p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城镇登记失业率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4.5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以内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2.69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4.5</w:t>
            </w: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以内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城镇居民人均可支配收入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与经济增长基本同步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29625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略高于经济增长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农村居民人均可支配收入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与经济增长基本同步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12222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SimSun"/>
                <w:color w:val="000000"/>
                <w:kern w:val="0"/>
                <w:sz w:val="20"/>
                <w:szCs w:val="20"/>
              </w:rPr>
              <w:t>略高于经济增长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减贫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农村贫困人口脱贫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万人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5.02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人口与卫生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常住人口</w:t>
            </w: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万人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499.9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每千人口医疗卫生机构床位数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5.41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5.65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5.8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每千人口执业（助理）医师数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为残疾人服务设施数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ind w:firstLine="196" w:firstLineChars="100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KaiTi_GB2312"/>
                <w:bCs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参加城镇企业在职职工基本养老保险人数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万人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33.7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34.68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35.97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参加城乡居民基本老保险人数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万人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196.22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196.22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棚户区住房改造开工量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cs="FangSong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5604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6534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67000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/>
                <w:color w:val="000000"/>
                <w:kern w:val="0"/>
                <w:sz w:val="20"/>
                <w:szCs w:val="20"/>
              </w:rPr>
              <w:t>—</w:t>
            </w:r>
          </w:p>
        </w:tc>
      </w:tr>
    </w:tbl>
    <w:p>
      <w:pPr>
        <w:widowControl/>
        <w:spacing w:line="580" w:lineRule="exact"/>
        <w:jc w:val="left"/>
        <w:rPr>
          <w:rFonts w:eastAsia="KaiTi"/>
          <w:color w:val="000000"/>
          <w:kern w:val="0"/>
          <w:sz w:val="22"/>
          <w:szCs w:val="22"/>
        </w:rPr>
      </w:pPr>
    </w:p>
    <w:p>
      <w:pPr>
        <w:widowControl/>
        <w:tabs>
          <w:tab w:val="left" w:pos="360"/>
        </w:tabs>
        <w:spacing w:line="580" w:lineRule="exact"/>
        <w:ind w:left="1106" w:right="-3" w:hanging="1106" w:hangingChars="350"/>
        <w:jc w:val="left"/>
        <w:rPr>
          <w:rFonts w:hint="eastAsia" w:ascii="FangSong_GB2312"/>
          <w:color w:val="000000"/>
          <w:kern w:val="0"/>
          <w:szCs w:val="32"/>
        </w:rPr>
      </w:pPr>
      <w:r>
        <w:rPr>
          <w:rFonts w:hint="eastAsia" w:ascii="FangSong_GB2312" w:cs="KaiTi_GB2312"/>
          <w:color w:val="000000"/>
          <w:kern w:val="0"/>
          <w:szCs w:val="32"/>
        </w:rPr>
        <w:t>注</w:t>
      </w:r>
      <w:r>
        <w:rPr>
          <w:rFonts w:hint="eastAsia" w:ascii="FangSong_GB2312"/>
          <w:color w:val="000000"/>
          <w:kern w:val="0"/>
          <w:szCs w:val="32"/>
        </w:rPr>
        <w:t>: 1</w:t>
      </w:r>
      <w:r>
        <w:rPr>
          <w:rFonts w:hint="eastAsia" w:ascii="FangSong_GB2312" w:cs="KaiTi_GB2312"/>
          <w:color w:val="000000"/>
          <w:kern w:val="0"/>
          <w:szCs w:val="32"/>
        </w:rPr>
        <w:t>．全市生产总值及其三次产业增加值绝对值为现价，增长速度按可比价格计算。</w:t>
      </w:r>
    </w:p>
    <w:p>
      <w:pPr>
        <w:widowControl/>
        <w:spacing w:line="580" w:lineRule="exact"/>
        <w:ind w:left="1106" w:leftChars="200" w:right="-6" w:hanging="474" w:hangingChars="150"/>
        <w:rPr>
          <w:rFonts w:hint="eastAsia" w:ascii="FangSong_GB2312"/>
          <w:color w:val="000000"/>
          <w:kern w:val="0"/>
          <w:szCs w:val="32"/>
        </w:rPr>
      </w:pPr>
      <w:r>
        <w:rPr>
          <w:rFonts w:hint="eastAsia" w:ascii="FangSong_GB2312"/>
          <w:color w:val="000000"/>
          <w:kern w:val="0"/>
          <w:szCs w:val="32"/>
        </w:rPr>
        <w:t>2．一般公共财政预算支出2017年预计数为当年实际完成数（一般公共财政预算支出预算在执行中正常调整，2017年预计数与2017年初计划数不可比）；2018年计划为初步计划，正式预算计划待市、县(市、区）人大审议后最终确定。</w:t>
      </w:r>
    </w:p>
    <w:p>
      <w:pPr>
        <w:widowControl/>
        <w:spacing w:line="580" w:lineRule="exact"/>
        <w:ind w:right="-3" w:firstLine="632" w:firstLineChars="200"/>
        <w:jc w:val="left"/>
        <w:rPr>
          <w:rFonts w:hint="eastAsia"/>
        </w:rPr>
      </w:pPr>
      <w:r>
        <w:rPr>
          <w:rFonts w:hint="eastAsia" w:ascii="FangSong_GB2312"/>
          <w:color w:val="000000"/>
          <w:kern w:val="0"/>
          <w:szCs w:val="32"/>
        </w:rPr>
        <w:t>3．</w:t>
      </w:r>
      <w:r>
        <w:rPr>
          <w:rFonts w:hint="eastAsia" w:ascii="FangSong_GB2312" w:cs="KaiTi_GB2312"/>
          <w:color w:val="000000"/>
          <w:kern w:val="0"/>
          <w:szCs w:val="32"/>
        </w:rPr>
        <w:t>能耗指标中的单位生产总值采用</w:t>
      </w:r>
      <w:r>
        <w:rPr>
          <w:rFonts w:hint="eastAsia" w:ascii="FangSong_GB2312"/>
          <w:color w:val="000000"/>
          <w:kern w:val="0"/>
          <w:szCs w:val="32"/>
        </w:rPr>
        <w:t>2010</w:t>
      </w:r>
      <w:r>
        <w:rPr>
          <w:rFonts w:hint="eastAsia" w:ascii="FangSong_GB2312" w:cs="KaiTi_GB2312"/>
          <w:color w:val="000000"/>
          <w:kern w:val="0"/>
          <w:szCs w:val="32"/>
        </w:rPr>
        <w:t>年价格。</w:t>
      </w:r>
    </w:p>
    <w:p>
      <w:pPr>
        <w:rPr>
          <w:rFonts w:ascii="FangSong_GB2312"/>
          <w:szCs w:val="32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pgNumType w:chapSep="emDash"/>
          <w:cols w:space="425" w:num="1"/>
          <w:docGrid w:type="linesAndChars" w:linePitch="579" w:charSpace="-84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SimSu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80"/>
      <w:jc w:val="right"/>
      <w:rPr>
        <w:rFonts w:hint="eastAsia" w:ascii="SimSun" w:hAnsi="SimSun" w:eastAsia="SimSun"/>
        <w:sz w:val="28"/>
        <w:szCs w:val="28"/>
      </w:rPr>
    </w:pPr>
    <w:r>
      <w:rPr>
        <w:rStyle w:val="4"/>
        <w:rFonts w:hint="eastAsia" w:ascii="SimSun" w:hAnsi="SimSun" w:eastAsia="SimSun"/>
        <w:sz w:val="28"/>
        <w:szCs w:val="28"/>
      </w:rPr>
      <w:t xml:space="preserve">— </w:t>
    </w:r>
    <w:r>
      <w:rPr>
        <w:rStyle w:val="4"/>
        <w:rFonts w:hint="eastAsia" w:ascii="SimSun" w:hAnsi="SimSun" w:eastAsia="SimSun"/>
        <w:sz w:val="28"/>
        <w:szCs w:val="28"/>
      </w:rPr>
      <w:fldChar w:fldCharType="begin"/>
    </w:r>
    <w:r>
      <w:rPr>
        <w:rStyle w:val="4"/>
        <w:rFonts w:hint="eastAsia" w:ascii="SimSun" w:hAnsi="SimSun" w:eastAsia="SimSun"/>
        <w:sz w:val="28"/>
        <w:szCs w:val="28"/>
      </w:rPr>
      <w:instrText xml:space="preserve"> PAGE </w:instrText>
    </w:r>
    <w:r>
      <w:rPr>
        <w:rStyle w:val="4"/>
        <w:rFonts w:hint="eastAsia" w:ascii="SimSun" w:hAnsi="SimSun" w:eastAsia="SimSun"/>
        <w:sz w:val="28"/>
        <w:szCs w:val="28"/>
      </w:rPr>
      <w:fldChar w:fldCharType="separate"/>
    </w:r>
    <w:r>
      <w:rPr>
        <w:rStyle w:val="4"/>
        <w:rFonts w:ascii="SimSun" w:hAnsi="SimSun" w:eastAsia="SimSun"/>
        <w:sz w:val="28"/>
        <w:szCs w:val="28"/>
      </w:rPr>
      <w:t>11</w:t>
    </w:r>
    <w:r>
      <w:rPr>
        <w:rStyle w:val="4"/>
        <w:rFonts w:hint="eastAsia" w:ascii="SimSun" w:hAnsi="SimSun" w:eastAsia="SimSun"/>
        <w:sz w:val="28"/>
        <w:szCs w:val="28"/>
      </w:rPr>
      <w:fldChar w:fldCharType="end"/>
    </w:r>
    <w:r>
      <w:rPr>
        <w:rStyle w:val="4"/>
        <w:rFonts w:hint="eastAsia" w:ascii="SimSun" w:hAnsi="SimSun" w:eastAsia="SimSu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SimSun" w:eastAsia="SimSun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hint="eastAsia" w:ascii="SimSun" w:eastAsia="SimSun"/>
        <w:sz w:val="28"/>
        <w:szCs w:val="28"/>
      </w:rPr>
      <w:t xml:space="preserve">— </w:t>
    </w:r>
    <w:r>
      <w:rPr>
        <w:rStyle w:val="4"/>
        <w:rFonts w:hint="eastAsia" w:ascii="SimSun" w:eastAsia="SimSun"/>
        <w:sz w:val="28"/>
        <w:szCs w:val="28"/>
      </w:rPr>
      <w:fldChar w:fldCharType="begin"/>
    </w:r>
    <w:r>
      <w:rPr>
        <w:rStyle w:val="4"/>
        <w:rFonts w:hint="eastAsia" w:ascii="SimSun" w:eastAsia="SimSun"/>
        <w:sz w:val="28"/>
        <w:szCs w:val="28"/>
      </w:rPr>
      <w:instrText xml:space="preserve"> PAGE </w:instrText>
    </w:r>
    <w:r>
      <w:rPr>
        <w:rStyle w:val="4"/>
        <w:rFonts w:hint="eastAsia" w:ascii="SimSun" w:eastAsia="SimSun"/>
        <w:sz w:val="28"/>
        <w:szCs w:val="28"/>
      </w:rPr>
      <w:fldChar w:fldCharType="separate"/>
    </w:r>
    <w:r>
      <w:rPr>
        <w:rStyle w:val="4"/>
        <w:rFonts w:ascii="SimSun" w:eastAsia="SimSun"/>
        <w:sz w:val="28"/>
        <w:szCs w:val="28"/>
      </w:rPr>
      <w:t>10</w:t>
    </w:r>
    <w:r>
      <w:rPr>
        <w:rStyle w:val="4"/>
        <w:rFonts w:hint="eastAsia" w:ascii="SimSun" w:eastAsia="SimSun"/>
        <w:sz w:val="28"/>
        <w:szCs w:val="28"/>
      </w:rPr>
      <w:fldChar w:fldCharType="end"/>
    </w:r>
    <w:r>
      <w:rPr>
        <w:rFonts w:hint="eastAsia" w:ascii="SimSun" w:eastAsia="SimSu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A1A2C"/>
    <w:rsid w:val="2AEA1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2018-11-27T01:32:00Z</dcterms:created>
  <dc:creator>江南风</dc:creator>
  <cp:lastModifiedBy>江南风</cp:lastModifiedBy>
  <dcterms:modified xsi:type="dcterms:W3CDTF">2018-11-27T01:33:01Z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