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640" w:type="dxa"/>
        <w:tblInd w:w="0" w:type="dxa"/>
        <w:tblLayout w:type="fixed"/>
        <w:tblCellMar>
          <w:top w:w="0" w:type="dxa"/>
          <w:left w:w="0" w:type="dxa"/>
          <w:bottom w:w="0" w:type="dxa"/>
          <w:right w:w="0" w:type="dxa"/>
        </w:tblCellMar>
      </w:tblPr>
      <w:tblGrid>
        <w:gridCol w:w="636"/>
        <w:gridCol w:w="823"/>
        <w:gridCol w:w="433"/>
        <w:gridCol w:w="1840"/>
        <w:gridCol w:w="4493"/>
        <w:gridCol w:w="415"/>
      </w:tblGrid>
      <w:tr>
        <w:tblPrEx>
          <w:tblLayout w:type="fixed"/>
          <w:tblCellMar>
            <w:top w:w="0" w:type="dxa"/>
            <w:left w:w="0" w:type="dxa"/>
            <w:bottom w:w="0" w:type="dxa"/>
            <w:right w:w="0" w:type="dxa"/>
          </w:tblCellMar>
        </w:tblPrEx>
        <w:trPr>
          <w:trHeight w:val="486" w:hRule="atLeast"/>
        </w:trPr>
        <w:tc>
          <w:tcPr>
            <w:tcW w:w="8640" w:type="dxa"/>
            <w:gridSpan w:val="6"/>
            <w:tcBorders>
              <w:top w:val="nil"/>
              <w:left w:val="nil"/>
              <w:bottom w:val="nil"/>
              <w:right w:val="nil"/>
            </w:tcBorders>
            <w:tcMar>
              <w:top w:w="15" w:type="dxa"/>
              <w:left w:w="15" w:type="dxa"/>
              <w:right w:w="15" w:type="dxa"/>
            </w:tcMar>
            <w:vAlign w:val="center"/>
          </w:tcPr>
          <w:p>
            <w:pPr>
              <w:widowControl/>
              <w:ind w:firstLine="712"/>
              <w:jc w:val="center"/>
              <w:textAlignment w:val="center"/>
              <w:rPr>
                <w:rFonts w:ascii="宋体" w:hAnsi="宋体" w:eastAsia="宋体" w:cs="宋体"/>
                <w:b/>
                <w:color w:val="000000"/>
                <w:sz w:val="18"/>
                <w:szCs w:val="18"/>
              </w:rPr>
            </w:pPr>
            <w:r>
              <w:rPr>
                <w:rFonts w:hint="eastAsia" w:ascii="方正小标宋_GBK" w:hAnsi="方正小标宋_GBK" w:eastAsia="方正小标宋_GBK" w:cs="方正小标宋_GBK"/>
                <w:color w:val="000000"/>
                <w:kern w:val="0"/>
                <w:sz w:val="36"/>
                <w:szCs w:val="36"/>
              </w:rPr>
              <w:t>高压普通客户竣工检验阳光作业卡</w:t>
            </w:r>
          </w:p>
        </w:tc>
      </w:tr>
      <w:tr>
        <w:tblPrEx>
          <w:tblLayout w:type="fixed"/>
          <w:tblCellMar>
            <w:top w:w="0" w:type="dxa"/>
            <w:left w:w="0" w:type="dxa"/>
            <w:bottom w:w="0" w:type="dxa"/>
            <w:right w:w="0" w:type="dxa"/>
          </w:tblCellMar>
        </w:tblPrEx>
        <w:trPr>
          <w:trHeight w:val="499" w:hRule="atLeast"/>
        </w:trPr>
        <w:tc>
          <w:tcPr>
            <w:tcW w:w="864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一、竣工检验资料查验</w:t>
            </w:r>
          </w:p>
        </w:tc>
      </w:tr>
      <w:tr>
        <w:tblPrEx>
          <w:tblLayout w:type="fixed"/>
          <w:tblCellMar>
            <w:top w:w="0" w:type="dxa"/>
            <w:left w:w="0" w:type="dxa"/>
            <w:bottom w:w="0" w:type="dxa"/>
            <w:right w:w="0" w:type="dxa"/>
          </w:tblCellMar>
        </w:tblPrEx>
        <w:trPr>
          <w:trHeight w:val="499"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499" w:hRule="atLeast"/>
        </w:trPr>
        <w:tc>
          <w:tcPr>
            <w:tcW w:w="6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客户工程竣工检验资料查验</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设计、施工、试验单位的资质证明</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设计资质、承装(试、修）资质在有效期内且与电压等级对应</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工程竣工图</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需提供涉网设备工程竣工图纸，并加盖竣工章</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800"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客户侧涉网设备交接试验报告</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继电保护资料</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涉网设备接地装置测试记录</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接地电阻测试记录结论合格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744"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高压电缆试验报告</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502"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电流互感器、电压互感器试验报告</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电流互感器试验需包含：交流耐压、变流比、绕组直流电阻、绕组组别和极性、绕组伏安特性、绝缘电阻等结论合格；</w:t>
            </w:r>
          </w:p>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电压互感器需包含：交流耐压、变压比、绕组直流电阻、绕组组别和极性、绝缘电阻等结论合格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高压断路器、隔离开关、负荷开关及高压熔断器试验报告</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母线试验报告</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绝缘电阻测试、交流耐压试验结论合格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018"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受电变压器试验报告</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绝缘电阻测试、耐压试验、泄漏电流测试、绕组直流电阻测试、变压比测定、变压器极性或接线组别、有载调压切换装置检查结论合格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绝缘电阻测试、直流泄漏电流测试结论合格</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涉网设备出厂合格证书</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提供涉网设备出厂合格证书（或出厂试验报告）</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9" w:hRule="atLeast"/>
        </w:trPr>
        <w:tc>
          <w:tcPr>
            <w:tcW w:w="864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p>
        </w:tc>
      </w:tr>
      <w:tr>
        <w:tblPrEx>
          <w:tblLayout w:type="fixed"/>
          <w:tblCellMar>
            <w:top w:w="0" w:type="dxa"/>
            <w:left w:w="0" w:type="dxa"/>
            <w:bottom w:w="0" w:type="dxa"/>
            <w:right w:w="0" w:type="dxa"/>
          </w:tblCellMar>
        </w:tblPrEx>
        <w:trPr>
          <w:trHeight w:val="499"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317" w:hRule="atLeast"/>
        </w:trPr>
        <w:tc>
          <w:tcPr>
            <w:tcW w:w="6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bookmarkStart w:id="0" w:name="_GoBack"/>
            <w:r>
              <w:rPr>
                <w:rFonts w:hint="eastAsia" w:ascii="宋体" w:hAnsi="宋体" w:eastAsia="宋体" w:cs="宋体"/>
                <w:color w:val="000000"/>
                <w:kern w:val="0"/>
                <w:sz w:val="18"/>
                <w:szCs w:val="18"/>
              </w:rPr>
              <w:t>客户工程竣工检验现场查验</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运行准备</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设备命名</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设备系统命名与现场一致（调度直调设备）</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bookmarkEnd w:id="0"/>
      <w:tr>
        <w:tblPrEx>
          <w:tblLayout w:type="fixed"/>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电缆终端头及电缆接头</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命名标识牌</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602"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电缆接地</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架空线路</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开关柜</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断路器、隔离开关、负荷开关</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分合状态及操作机构正常</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互感器</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电容器</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只数容量与竣工图纸一致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安装与竣工图纸一致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电源闭锁装置</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机械闭锁、电气闭锁应动作准确、可靠</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变压器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继电保护定值设定</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继电保护定值单与现场输入一致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设备调试</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一、二次设备调试</w:t>
            </w:r>
          </w:p>
        </w:tc>
        <w:tc>
          <w:tcPr>
            <w:tcW w:w="4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现场设备操作功能与竣工图纸一致</w:t>
            </w:r>
          </w:p>
        </w:tc>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1169" w:hRule="atLeast"/>
        </w:trPr>
        <w:tc>
          <w:tcPr>
            <w:tcW w:w="8640" w:type="dxa"/>
            <w:gridSpan w:val="6"/>
            <w:tcBorders>
              <w:top w:val="single" w:color="000000" w:sz="4" w:space="0"/>
              <w:left w:val="nil"/>
              <w:bottom w:val="nil"/>
              <w:right w:val="nil"/>
            </w:tcBorders>
            <w:tcMar>
              <w:top w:w="15" w:type="dxa"/>
              <w:left w:w="15" w:type="dxa"/>
              <w:right w:w="15" w:type="dxa"/>
            </w:tcMar>
            <w:vAlign w:val="center"/>
          </w:tcPr>
          <w:p>
            <w:pPr>
              <w:widowControl/>
              <w:spacing w:line="400" w:lineRule="exact"/>
              <w:ind w:firstLine="412"/>
              <w:jc w:val="left"/>
              <w:textAlignment w:val="center"/>
              <w:rPr>
                <w:rFonts w:ascii="宋体" w:hAnsi="宋体" w:cs="宋体"/>
                <w:color w:val="000000"/>
                <w:kern w:val="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1.对于高压普通客户一律取消设计审查和中间检查，仅保留竣工检验环节，且查验范围只限于涉网的客户设备，涉网设备指客户受电变压器及以上至产权分界点之间的所有电力设施。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2.不得要求客户对配电室所有设备出具试验报告或出具一体化试验报告。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3.竣工检验办理时限为3个工作日。</w:t>
            </w:r>
          </w:p>
        </w:tc>
      </w:tr>
    </w:tbl>
    <w:p>
      <w:pPr>
        <w:widowControl/>
        <w:spacing w:line="240" w:lineRule="exact"/>
        <w:ind w:firstLine="352"/>
        <w:jc w:val="left"/>
        <w:textAlignment w:val="center"/>
        <w:rPr>
          <w:rFonts w:ascii="宋体" w:hAnsi="宋体" w:cs="宋体"/>
          <w:color w:val="000000"/>
          <w:kern w:val="0"/>
          <w:sz w:val="18"/>
          <w:szCs w:val="18"/>
        </w:rPr>
      </w:pPr>
    </w:p>
    <w:p>
      <w:pPr>
        <w:pStyle w:val="4"/>
        <w:ind w:firstLine="352"/>
        <w:rPr>
          <w:rFonts w:ascii="宋体" w:hAnsi="宋体" w:cs="宋体"/>
          <w:color w:val="000000"/>
          <w:kern w:val="0"/>
          <w:sz w:val="18"/>
          <w:szCs w:val="18"/>
        </w:rPr>
      </w:pPr>
    </w:p>
    <w:p>
      <w:pPr>
        <w:ind w:firstLine="352"/>
        <w:rPr>
          <w:rFonts w:ascii="宋体" w:hAnsi="宋体" w:cs="宋体"/>
          <w:color w:val="000000"/>
          <w:kern w:val="0"/>
          <w:sz w:val="18"/>
          <w:szCs w:val="18"/>
        </w:rPr>
        <w:sectPr>
          <w:pgSz w:w="11906" w:h="16838"/>
          <w:pgMar w:top="2098" w:right="1474" w:bottom="1985" w:left="1587" w:header="1418" w:footer="1361" w:gutter="0"/>
          <w:cols w:space="720" w:num="1"/>
          <w:docGrid w:type="linesAndChars" w:linePitch="589" w:charSpace="-849"/>
        </w:sectPr>
      </w:pPr>
    </w:p>
    <w:p>
      <w:pPr>
        <w:widowControl/>
        <w:ind w:firstLine="0" w:firstLineChars="0"/>
        <w:jc w:val="center"/>
        <w:textAlignment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重要（特殊负荷）客户设计审查、中间检查及</w:t>
      </w:r>
    </w:p>
    <w:p>
      <w:pPr>
        <w:pStyle w:val="4"/>
        <w:ind w:firstLine="0" w:firstLineChars="0"/>
        <w:jc w:val="center"/>
      </w:pPr>
      <w:r>
        <w:rPr>
          <w:rFonts w:hint="eastAsia" w:ascii="方正小标宋_GBK" w:hAnsi="方正小标宋_GBK" w:eastAsia="方正小标宋_GBK" w:cs="方正小标宋_GBK"/>
          <w:sz w:val="36"/>
          <w:szCs w:val="36"/>
        </w:rPr>
        <w:t>竣工检验阳光作业卡</w:t>
      </w:r>
    </w:p>
    <w:tbl>
      <w:tblPr>
        <w:tblStyle w:val="6"/>
        <w:tblW w:w="9049" w:type="dxa"/>
        <w:tblInd w:w="0" w:type="dxa"/>
        <w:tblLayout w:type="fixed"/>
        <w:tblCellMar>
          <w:top w:w="0" w:type="dxa"/>
          <w:left w:w="0" w:type="dxa"/>
          <w:bottom w:w="0" w:type="dxa"/>
          <w:right w:w="0" w:type="dxa"/>
        </w:tblCellMar>
      </w:tblPr>
      <w:tblGrid>
        <w:gridCol w:w="709"/>
        <w:gridCol w:w="851"/>
        <w:gridCol w:w="567"/>
        <w:gridCol w:w="1752"/>
        <w:gridCol w:w="4469"/>
        <w:gridCol w:w="701"/>
      </w:tblGrid>
      <w:tr>
        <w:tblPrEx>
          <w:tblLayout w:type="fixed"/>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一、设计审查</w:t>
            </w:r>
          </w:p>
        </w:tc>
      </w:tr>
      <w:tr>
        <w:tblPrEx>
          <w:tblLayout w:type="fixed"/>
          <w:tblCellMar>
            <w:top w:w="0" w:type="dxa"/>
            <w:left w:w="0" w:type="dxa"/>
            <w:bottom w:w="0" w:type="dxa"/>
            <w:right w:w="0" w:type="dxa"/>
          </w:tblCellMar>
        </w:tblPrEx>
        <w:trPr>
          <w:trHeight w:val="537" w:hRule="atLeast"/>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49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客户工程设计文件审查</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设计资质证明</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设计资质在有效期内且与电压等级对应</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1106"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设计说明书</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量装置、接线方式、涉网设备的相关参数满足国家标准、规范要求，且与供电方案一致（注：受电变压器空载损耗、负载损耗、短路阻抗符合国家能效标准要求（现行标准为《电力变压器能效限定值及能效等级》（GB 20052-2020）</w:t>
            </w:r>
            <w:r>
              <w:rPr>
                <w:rFonts w:hint="eastAsia" w:ascii="宋体" w:hAnsi="宋体" w:eastAsia="宋体" w:cs="宋体"/>
                <w:color w:val="000000"/>
                <w:kern w:val="0"/>
                <w:sz w:val="20"/>
                <w:szCs w:val="20"/>
              </w:rPr>
              <w:t>，其中1级、2级能效为高能效变压器</w:t>
            </w:r>
            <w:r>
              <w:rPr>
                <w:rFonts w:hint="eastAsia" w:ascii="宋体" w:hAnsi="宋体" w:eastAsia="宋体" w:cs="宋体"/>
                <w:color w:val="000000"/>
                <w:kern w:val="0"/>
                <w:sz w:val="18"/>
                <w:szCs w:val="18"/>
              </w:rPr>
              <w:t>）</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64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一次系统图</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计量装置、接线方式、涉网设备的相关参数满足国家标准、规范要求，且与供电方案一致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2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平面布置图</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涉网设备平面布置满足国家标准、规范要求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49"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隐蔽工程图</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接地网布置、涉网设备基础设计满足国家标准、规范要求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50"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配电网络布置图</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配电网络布置应满足国家标准、规范要求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835"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自备电源</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自备电源配置及切换方式满足国家标准、规范要求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本条仅重要客户提供</w:t>
            </w:r>
          </w:p>
        </w:tc>
      </w:tr>
      <w:tr>
        <w:tblPrEx>
          <w:tblLayout w:type="fixed"/>
          <w:tblCellMar>
            <w:top w:w="0" w:type="dxa"/>
            <w:left w:w="0" w:type="dxa"/>
            <w:bottom w:w="0" w:type="dxa"/>
            <w:right w:w="0"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非电性质保安措施</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设计图纸说明中应有非电性质保安措施相关内容</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本条仅重要客户提供</w:t>
            </w:r>
          </w:p>
        </w:tc>
      </w:tr>
      <w:tr>
        <w:tblPrEx>
          <w:tblLayout w:type="fixed"/>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color w:val="000000"/>
                <w:kern w:val="0"/>
                <w:sz w:val="18"/>
                <w:szCs w:val="18"/>
              </w:rPr>
            </w:pPr>
            <w:r>
              <w:rPr>
                <w:rFonts w:hint="eastAsia" w:ascii="宋体" w:hAnsi="宋体" w:eastAsia="宋体" w:cs="宋体"/>
                <w:b/>
                <w:color w:val="000000"/>
                <w:kern w:val="0"/>
                <w:sz w:val="18"/>
                <w:szCs w:val="18"/>
              </w:rPr>
              <w:t>二、中间检查</w:t>
            </w:r>
          </w:p>
        </w:tc>
      </w:tr>
      <w:tr>
        <w:tblPrEx>
          <w:tblLayout w:type="fixed"/>
          <w:tblCellMar>
            <w:top w:w="0" w:type="dxa"/>
            <w:left w:w="0" w:type="dxa"/>
            <w:bottom w:w="0" w:type="dxa"/>
            <w:right w:w="0" w:type="dxa"/>
          </w:tblCellMar>
        </w:tblPrEx>
        <w:trPr>
          <w:trHeight w:val="494" w:hRule="atLeast"/>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746" w:hRule="atLeast"/>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客户工程中间检查</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接地装置</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现场接地装置安装与设计图纸一致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三、竣工检验资料查验</w:t>
            </w:r>
          </w:p>
        </w:tc>
      </w:tr>
      <w:tr>
        <w:tblPrEx>
          <w:tblLayout w:type="fixed"/>
          <w:tblCellMar>
            <w:top w:w="0" w:type="dxa"/>
            <w:left w:w="0" w:type="dxa"/>
            <w:bottom w:w="0" w:type="dxa"/>
            <w:right w:w="0" w:type="dxa"/>
          </w:tblCellMar>
        </w:tblPrEx>
        <w:trPr>
          <w:trHeight w:val="394" w:hRule="atLeast"/>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49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客户工程竣工检验资料查验</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施工、试验单位的资质证明</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承装(试、修）资质在有效期内且与电压等级对应</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工程竣工图</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需提供涉网设备工程竣工图纸，并加盖竣工章</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572"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客户侧涉网设备交接试验报告</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继电保护资料</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涉网设备接地装置测试记录</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接地电阻测试记录结论合格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625"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1067"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电流互感器、电压互感器试验报告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电流互感器试验需包含：交流耐压、变流比、绕组直流电阻、绕组组别和极性、绕组伏安特性、绝缘电阻结论合格；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电压互感器需包含：交流耐压、变压比、绕组直流电阻、绕组组别和极性、绝缘电阻等数据合格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2530"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高压断路器、隔离开关、负荷开关及高压熔断器试验报告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母线试验报告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绝缘电阻测试、交流耐压试验结论合格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82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受电变压器试验报告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绝缘电阻测试、耐压试验、泄漏电流测试、绕组直流电阻测试、变压比测定、变压器极性或接线组别、有载调压切换装置检查结论合格</w:t>
            </w:r>
            <w:r>
              <w:rPr>
                <w:rFonts w:hint="eastAsia" w:ascii="宋体" w:hAnsi="宋体" w:eastAsia="宋体" w:cs="宋体"/>
                <w:b/>
                <w:bCs/>
                <w:color w:val="000000"/>
                <w:kern w:val="0"/>
                <w:sz w:val="20"/>
                <w:szCs w:val="20"/>
              </w:rPr>
              <w:t>；</w:t>
            </w:r>
            <w:r>
              <w:rPr>
                <w:rFonts w:hint="eastAsia" w:ascii="宋体" w:hAnsi="宋体" w:eastAsia="宋体" w:cs="宋体"/>
                <w:color w:val="000000"/>
                <w:kern w:val="0"/>
                <w:sz w:val="20"/>
                <w:szCs w:val="20"/>
              </w:rPr>
              <w:t>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国家能效标准要求（现行标准为《电力变压器能效限定值及能效等级》（GB 20052-2020），其中1级、2级能效为高能效变压器）</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避雷器试验报告</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绝缘电阻测试、直流泄漏电流测试结论合格</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涉网设备出厂合格证书</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提供涉网设备出厂合格证书（或出厂试验报告）</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特殊负荷</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电能质量治理资料</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电能质量治理装置出厂合格证书（或出厂试验报告）</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本条仅适用于特殊负荷</w:t>
            </w:r>
          </w:p>
        </w:tc>
      </w:tr>
      <w:tr>
        <w:tblPrEx>
          <w:tblLayout w:type="fixed"/>
          <w:tblCellMar>
            <w:top w:w="0" w:type="dxa"/>
            <w:left w:w="0" w:type="dxa"/>
            <w:bottom w:w="0" w:type="dxa"/>
            <w:right w:w="0" w:type="dxa"/>
          </w:tblCellMar>
        </w:tblPrEx>
        <w:trPr>
          <w:trHeight w:val="671"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备用电源、保安电源、自备应急电源资料</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根据重要客户等级或负荷分类，提供提供保安电源、自备应急电源装置出厂合格证书（或出厂试验报告）</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本条仅适用于重要客户</w:t>
            </w:r>
          </w:p>
        </w:tc>
      </w:tr>
      <w:tr>
        <w:tblPrEx>
          <w:tblLayout w:type="fixed"/>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四、竣工检验现场查验</w:t>
            </w:r>
          </w:p>
        </w:tc>
      </w:tr>
      <w:tr>
        <w:tblPrEx>
          <w:tblLayout w:type="fixed"/>
          <w:tblCellMar>
            <w:top w:w="0" w:type="dxa"/>
            <w:left w:w="0" w:type="dxa"/>
            <w:bottom w:w="0" w:type="dxa"/>
            <w:right w:w="0" w:type="dxa"/>
          </w:tblCellMar>
        </w:tblPrEx>
        <w:trPr>
          <w:trHeight w:val="349" w:hRule="atLeast"/>
        </w:trPr>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39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客户工程竣工检验现场查验</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运行准备</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设备命名</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设备系统命名与现场一致（调度直调设备）</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677"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电缆终端头及电缆接头</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710"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命名标识牌</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958"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电缆接地</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2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架空线路</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电杆、导线及附属设施与设计图纸、竣工图纸一致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开关柜</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断路器、隔离开关、负荷开关</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分合状态及操作机构正常</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3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互感器</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铭牌参数与设计图纸、竣工图纸一致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电容器</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只数容量与设计图纸、竣工图纸一致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安装与设计图纸、竣工图纸一致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电源闭锁装置</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机械闭锁、电气闭锁应动作准确、可靠</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变压器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铭牌参数与设计图纸、竣工图纸一致；受电变压器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国家能效标准要求（现行标准为《电力变压器能效限定值及能效等级》（GB 20052-2020），其中1级、2级能效为高能效变压器）</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继电保护定值设定</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继电保护定值单与现场输入一致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备用电源、保安电源、自备应急电源</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电源配置与设计图纸、竣工图纸一致、反送电闭锁装置工作正常</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本条仅适用于重要客户</w:t>
            </w:r>
          </w:p>
        </w:tc>
      </w:tr>
      <w:tr>
        <w:tblPrEx>
          <w:tblLayout w:type="fixed"/>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特殊负荷</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电能质量治理装置与设计图纸、竣工图纸一致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本条仅适用于特殊负荷</w:t>
            </w:r>
          </w:p>
        </w:tc>
      </w:tr>
      <w:tr>
        <w:tblPrEx>
          <w:tblLayout w:type="fixed"/>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设备调试</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一、二次设备调试</w:t>
            </w:r>
          </w:p>
        </w:tc>
        <w:tc>
          <w:tcPr>
            <w:tcW w:w="4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现场设备操作功能与设计图纸、竣工图纸一致，应急电源响应时间满足设计要求</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Layout w:type="fixed"/>
          <w:tblCellMar>
            <w:top w:w="0" w:type="dxa"/>
            <w:left w:w="0" w:type="dxa"/>
            <w:bottom w:w="0" w:type="dxa"/>
            <w:right w:w="0" w:type="dxa"/>
          </w:tblCellMar>
        </w:tblPrEx>
        <w:trPr>
          <w:trHeight w:val="1120" w:hRule="atLeast"/>
        </w:trPr>
        <w:tc>
          <w:tcPr>
            <w:tcW w:w="9049" w:type="dxa"/>
            <w:gridSpan w:val="6"/>
            <w:tcBorders>
              <w:top w:val="single" w:color="000000" w:sz="4" w:space="0"/>
              <w:left w:val="nil"/>
              <w:bottom w:val="nil"/>
              <w:right w:val="nil"/>
            </w:tcBorders>
            <w:tcMar>
              <w:top w:w="15" w:type="dxa"/>
              <w:left w:w="15" w:type="dxa"/>
              <w:right w:w="15" w:type="dxa"/>
            </w:tcMar>
            <w:vAlign w:val="center"/>
          </w:tcPr>
          <w:p>
            <w:pPr>
              <w:widowControl/>
              <w:spacing w:line="400" w:lineRule="exact"/>
              <w:ind w:firstLine="412"/>
              <w:jc w:val="left"/>
              <w:textAlignment w:val="center"/>
              <w:rPr>
                <w:rFonts w:ascii="宋体" w:hAnsi="宋体" w:cs="宋体"/>
                <w:color w:val="000000"/>
                <w:kern w:val="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1.本表查验范围为客户涉网设备及保安电源，涉网设备指客户受电变压器及以上至产权分界点之间的所有电力设施。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2.不得要求客户对配电室所有设备出具试验报告或出具一体化试验报告。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3.设计图纸和竣工图纸不一致时，需提供设计变更佐证。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4.设计审查、中间检查、竣工检验办理时限分别为3、2、3个工作日。</w:t>
            </w:r>
          </w:p>
        </w:tc>
      </w:tr>
    </w:tbl>
    <w:p>
      <w:pPr>
        <w:pStyle w:val="4"/>
        <w:ind w:firstLine="352"/>
        <w:rPr>
          <w:rFonts w:ascii="宋体" w:hAnsi="宋体" w:cs="宋体"/>
          <w:color w:val="000000"/>
          <w:kern w:val="0"/>
          <w:sz w:val="18"/>
          <w:szCs w:val="18"/>
        </w:rPr>
      </w:pPr>
    </w:p>
    <w:p>
      <w:pPr>
        <w:ind w:firstLine="352"/>
        <w:rPr>
          <w:rFonts w:ascii="宋体" w:hAnsi="宋体" w:cs="宋体"/>
          <w:color w:val="000000"/>
          <w:kern w:val="0"/>
          <w:sz w:val="18"/>
          <w:szCs w:val="18"/>
        </w:rPr>
      </w:pPr>
    </w:p>
    <w:p>
      <w:pPr>
        <w:pStyle w:val="4"/>
        <w:ind w:firstLine="632"/>
        <w:sectPr>
          <w:pgSz w:w="11906" w:h="16838"/>
          <w:pgMar w:top="2098" w:right="1474" w:bottom="1985" w:left="1587" w:header="1418" w:footer="1361" w:gutter="0"/>
          <w:cols w:space="720" w:num="1"/>
          <w:docGrid w:type="linesAndChars" w:linePitch="589" w:charSpace="-849"/>
        </w:sectPr>
      </w:pPr>
    </w:p>
    <w:p>
      <w:pPr>
        <w:pStyle w:val="4"/>
        <w:ind w:firstLine="0" w:firstLineChars="0"/>
        <w:jc w:val="center"/>
        <w:rPr>
          <w:rFonts w:ascii="方正小标宋_GBK" w:hAnsi="方正小标宋_GBK" w:eastAsia="方正小标宋_GBK" w:cs="方正小标宋_GBK"/>
          <w:bCs/>
          <w:color w:val="000000"/>
          <w:kern w:val="0"/>
          <w:sz w:val="36"/>
          <w:szCs w:val="36"/>
        </w:rPr>
      </w:pPr>
      <w:r>
        <w:rPr>
          <w:rFonts w:hint="eastAsia" w:ascii="方正小标宋_GBK" w:hAnsi="方正小标宋_GBK" w:eastAsia="方正小标宋_GBK" w:cs="方正小标宋_GBK"/>
          <w:bCs/>
          <w:color w:val="000000"/>
          <w:kern w:val="0"/>
          <w:sz w:val="36"/>
          <w:szCs w:val="36"/>
        </w:rPr>
        <w:t>资产移交客户设计审查、中间检查及竣工检验阳光作业卡</w:t>
      </w:r>
    </w:p>
    <w:tbl>
      <w:tblPr>
        <w:tblStyle w:val="6"/>
        <w:tblW w:w="9356" w:type="dxa"/>
        <w:tblInd w:w="0" w:type="dxa"/>
        <w:tblLayout w:type="fixed"/>
        <w:tblCellMar>
          <w:top w:w="0" w:type="dxa"/>
          <w:left w:w="0" w:type="dxa"/>
          <w:bottom w:w="0" w:type="dxa"/>
          <w:right w:w="0" w:type="dxa"/>
        </w:tblCellMar>
      </w:tblPr>
      <w:tblGrid>
        <w:gridCol w:w="605"/>
        <w:gridCol w:w="882"/>
        <w:gridCol w:w="498"/>
        <w:gridCol w:w="1417"/>
        <w:gridCol w:w="5229"/>
        <w:gridCol w:w="725"/>
      </w:tblGrid>
      <w:tr>
        <w:tblPrEx>
          <w:tblLayout w:type="fixed"/>
          <w:tblCellMar>
            <w:top w:w="0" w:type="dxa"/>
            <w:left w:w="0" w:type="dxa"/>
            <w:bottom w:w="0" w:type="dxa"/>
            <w:right w:w="0" w:type="dxa"/>
          </w:tblCellMar>
        </w:tblPrEx>
        <w:trPr>
          <w:trHeight w:val="493" w:hRule="atLeast"/>
        </w:trPr>
        <w:tc>
          <w:tcPr>
            <w:tcW w:w="935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一、设计审查</w:t>
            </w:r>
          </w:p>
        </w:tc>
      </w:tr>
      <w:tr>
        <w:tblPrEx>
          <w:tblLayout w:type="fixed"/>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360" w:hRule="atLeast"/>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客户工程设计文件审查</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设计资质证明</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设计资质在有效期内且与电压等级对应</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设计说明书</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客户移交设备设计说明符合设计规范，且与供电方案一致（配置系数、开关站、配电室、环网单元、电缆分接箱、配电变压器、低压设备、消防装置满足最新国家和行业技术标准要求）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一次系统图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计量装置、接线方式、涉网设备的相关参数满足国家标准、规范要求，且与供电方案一致（注：需进行</w:t>
            </w:r>
            <w:r>
              <w:rPr>
                <w:rFonts w:ascii="宋体" w:hAnsi="宋体" w:eastAsia="宋体" w:cs="宋体"/>
                <w:color w:val="000000"/>
                <w:kern w:val="0"/>
                <w:sz w:val="20"/>
                <w:szCs w:val="20"/>
              </w:rPr>
              <w:t>资产移交的</w:t>
            </w:r>
            <w:r>
              <w:rPr>
                <w:rFonts w:hint="eastAsia" w:ascii="宋体" w:hAnsi="宋体" w:eastAsia="宋体" w:cs="宋体"/>
                <w:color w:val="000000"/>
                <w:kern w:val="0"/>
                <w:sz w:val="20"/>
                <w:szCs w:val="20"/>
              </w:rPr>
              <w:t>受电变压器空载损耗、负载损耗、短路阻抗符合国家节能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平面布置图及断面图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移交设备、电缆管沟、电缆竖井平面布置、断面满足国家标准、规范要求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接地网布置设计满足国家标准、规范要求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高、低压电缆参数、路径满足国家标准、规范要求，低压电缆供电半径满足电压质量要求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照明布置图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开关站、配电室照明装置满足国家标准、规范要求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93" w:hRule="atLeast"/>
        </w:trPr>
        <w:tc>
          <w:tcPr>
            <w:tcW w:w="86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二、中间检查</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1"/>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Layout w:type="fixed"/>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客户工程中间检查</w:t>
            </w: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土建验收</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前期勘察</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开关站、配电室的层高、设备运输通道、防汛满足国家标准、规范要求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电缆管沟</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设备基础</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消防装置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隐蔽工程按设计图纸施工（提供影像、图片资料）</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63" w:hRule="atLeast"/>
        </w:trPr>
        <w:tc>
          <w:tcPr>
            <w:tcW w:w="86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三、竣工检验资料查验</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客户工程竣工检验资料查验</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资质</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施工、试验单位的资质证明</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承装(试、修）资质在有效期内且与电压等级对应</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图纸</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工程竣工图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需提供移交设备工程竣工图纸，并加盖竣工章</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移交设备交接试验报告</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继电保护资料</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移交设备接地装置测试记录</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接地电阻测试记录结论合格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高压电缆试验报告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电流互感器、电压互感器试验报告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电流互感器试验需包含：交流耐压、变流比、绕组直流电阻、绕组组别和极性、绕组伏安特性、绝缘电阻结论合格；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电压互感器需包含：交流耐压、变压比、绕组直流电阻、绕组组别和极性、绝缘电阻等数据合格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925" w:hRule="atLeast"/>
        </w:trPr>
        <w:tc>
          <w:tcPr>
            <w:tcW w:w="6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高压断路器、隔离开关、负荷开关及高压熔断器试验报告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母线试验报告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绝缘电阻测试、交流耐压试验结论合格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受电变压器试验报告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绝缘电阻测试、耐压试验、泄漏电流测试、绕组直流电阻测试、变压比测定、变压器极性或接线组别、有载调压切换装置检查结论合格</w:t>
            </w:r>
            <w:r>
              <w:rPr>
                <w:rFonts w:hint="eastAsia" w:ascii="宋体" w:hAnsi="宋体" w:eastAsia="宋体" w:cs="宋体"/>
                <w:b/>
                <w:bCs/>
                <w:color w:val="000000"/>
                <w:kern w:val="0"/>
                <w:sz w:val="20"/>
                <w:szCs w:val="20"/>
              </w:rPr>
              <w:t>；</w:t>
            </w:r>
            <w:r>
              <w:rPr>
                <w:rFonts w:hint="eastAsia" w:ascii="宋体" w:hAnsi="宋体" w:eastAsia="宋体" w:cs="宋体"/>
                <w:color w:val="000000"/>
                <w:kern w:val="0"/>
                <w:sz w:val="20"/>
                <w:szCs w:val="20"/>
              </w:rPr>
              <w:t>需进行</w:t>
            </w:r>
            <w:r>
              <w:rPr>
                <w:rFonts w:ascii="宋体" w:hAnsi="宋体" w:eastAsia="宋体" w:cs="宋体"/>
                <w:color w:val="000000"/>
                <w:kern w:val="0"/>
                <w:sz w:val="20"/>
                <w:szCs w:val="20"/>
              </w:rPr>
              <w:t>资产移交的</w:t>
            </w:r>
            <w:r>
              <w:rPr>
                <w:rFonts w:hint="eastAsia" w:ascii="宋体" w:hAnsi="宋体" w:eastAsia="宋体" w:cs="宋体"/>
                <w:color w:val="000000"/>
                <w:kern w:val="0"/>
                <w:sz w:val="20"/>
                <w:szCs w:val="20"/>
              </w:rPr>
              <w:t>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避雷器试验报告</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绝缘电阻测试、直流泄漏电流测试结论合格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移交设备台账及出厂合格证书</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提供移交设备台账及出厂合格证书（或出厂试验报告）</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资产移交申请书</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移交方提供资产移交申请书</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房屋、通道无偿使用协议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移交方和接收方完成协议签署</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资产移交协议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移交方和接收方完成协议签署</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93" w:hRule="atLeast"/>
        </w:trPr>
        <w:tc>
          <w:tcPr>
            <w:tcW w:w="86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四、竣工检验现场查验</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Layout w:type="fixed"/>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客户工程竣工检验现场查验</w:t>
            </w: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运行准备</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规章制度</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具备安全运行规程等规章制度</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模拟图板</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与设计图纸、竣工图纸和现场情况保持一致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设备命名</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设备系统命名与现场一致（调度直调设备）</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防小动物措施</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防鼠挡板要求不少于40公分高、电缆管道孔洞封堵</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安全工器具和设备备品备件</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配备满足国家标准、规范，并在试验合格期范围内</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消防设施</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消防设施及火灾报警装置满足国家标准、规范要求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通风及防潮设施</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通风设施需加装防护网</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照明设施</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开关站、配电室具备应急照明装置</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高、低压电缆</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电缆沟</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电缆井</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敷设</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电缆终端头及电缆接头</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51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命名标识牌</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675"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电缆接地</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架空线路</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电杆、导线及附属设施</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电杆、导线及附属设施与设计图纸、竣工图纸一致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开关柜</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断路器、隔离开关、负荷开关</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分合状态及操作机构正常</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互感器</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铭牌参数与设计图纸、竣工图纸一致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电容器</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只数容量是否与设计图纸、竣工图纸一致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避雷器</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电源闭锁装置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机械闭锁、电气闭锁应动作准确、可靠</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操作电源</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直流、交流电源</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与设计图纸、竣工图纸一致，工作正常</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变压器</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安装质量</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外观检查，满足国家标准、规范要求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铭牌参数</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铭牌参数与设计图纸、竣工图纸一致；受电变压器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低压电缆分接箱</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分接箱及母排安装</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继电保护定值设定</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继电保护定值单与现场输入一致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计量装置</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计量装置安装</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与设计图纸、竣工图纸一致，具备采集数据要求，满足国家标准、规范要求</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配电自动化</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配电自动化装置</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安装与设计图纸、竣工图纸一致，并调试合格</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405" w:hRule="atLeast"/>
        </w:trPr>
        <w:tc>
          <w:tcPr>
            <w:tcW w:w="6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设备调试</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一、二次设备调试</w:t>
            </w:r>
          </w:p>
        </w:tc>
        <w:tc>
          <w:tcPr>
            <w:tcW w:w="5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现场设备操作功能与设计图纸、竣工图纸一致</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1440" w:hRule="atLeast"/>
        </w:trPr>
        <w:tc>
          <w:tcPr>
            <w:tcW w:w="9356" w:type="dxa"/>
            <w:gridSpan w:val="6"/>
            <w:tcBorders>
              <w:top w:val="single" w:color="000000" w:sz="4" w:space="0"/>
              <w:left w:val="nil"/>
              <w:bottom w:val="nil"/>
              <w:right w:val="nil"/>
            </w:tcBorders>
            <w:tcMar>
              <w:top w:w="15" w:type="dxa"/>
              <w:left w:w="15" w:type="dxa"/>
              <w:right w:w="15" w:type="dxa"/>
            </w:tcMar>
            <w:vAlign w:val="center"/>
          </w:tcPr>
          <w:p>
            <w:pPr>
              <w:widowControl/>
              <w:spacing w:line="400" w:lineRule="exact"/>
              <w:ind w:firstLine="420"/>
              <w:jc w:val="left"/>
              <w:textAlignment w:val="center"/>
              <w:rPr>
                <w:rFonts w:ascii="宋体" w:hAnsi="宋体" w:eastAsia="宋体" w:cs="宋体"/>
                <w:color w:val="00000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1.本表查验范围为客户移交供电企业的所有设备设施及土建部分。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2.设计图纸和竣工图纸不一致时，需提供设计变更佐证。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3.设计审查、中间检查、竣工检验办理时限分别为3、2、3个工作日。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M2VlZmJkNjczODIzNDllODMzNTkxZThjODY0YzYifQ=="/>
  </w:docVars>
  <w:rsids>
    <w:rsidRoot w:val="3DA46116"/>
    <w:rsid w:val="2CEC1C2C"/>
    <w:rsid w:val="3DA46116"/>
    <w:rsid w:val="7C8D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ascii="Calibri" w:hAnsi="Calibri" w:eastAsia="仿宋_GB2312" w:cs="Times New Roman"/>
      <w:kern w:val="2"/>
      <w:sz w:val="32"/>
      <w:szCs w:val="22"/>
      <w:lang w:val="en-US" w:eastAsia="zh-CN" w:bidi="ar-SA"/>
    </w:rPr>
  </w:style>
  <w:style w:type="paragraph" w:styleId="3">
    <w:name w:val="heading 4"/>
    <w:basedOn w:val="1"/>
    <w:next w:val="1"/>
    <w:qFormat/>
    <w:uiPriority w:val="0"/>
    <w:pPr>
      <w:keepNext/>
      <w:keepLines/>
      <w:spacing w:line="400" w:lineRule="exact"/>
      <w:ind w:firstLine="0" w:firstLineChars="0"/>
      <w:jc w:val="left"/>
      <w:outlineLvl w:val="3"/>
    </w:pPr>
    <w:rPr>
      <w:rFonts w:ascii="Arial" w:hAnsi="Arial" w:eastAsia="黑体"/>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Calibri" w:hAnsi="Calibri" w:eastAsia="宋体" w:cs="Times New Roman"/>
      <w:sz w:val="21"/>
      <w:szCs w:val="21"/>
    </w:rPr>
  </w:style>
  <w:style w:type="paragraph" w:styleId="4">
    <w:name w:val="Body Text"/>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2023-04-26T08:56:00Z</dcterms:created>
  <dc:creator>LX</dc:creator>
  <cp:lastModifiedBy>Administrator</cp:lastModifiedBy>
  <dcterms:modified xsi:type="dcterms:W3CDTF">2025-10-13T08:15:25Z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6247E14D85E042D3A0744F4E94724FD6_11</vt:lpwstr>
  </property>
</Properties>
</file>