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eastAsia="方正小标宋简体"/>
          <w:sz w:val="44"/>
          <w:szCs w:val="44"/>
        </w:rPr>
      </w:pPr>
      <w:bookmarkStart w:id="0" w:name="_GoBack"/>
      <w:r>
        <w:rPr>
          <w:rFonts w:hint="eastAsia" w:ascii="方正小标宋简体" w:eastAsia="方正小标宋简体"/>
          <w:sz w:val="44"/>
          <w:szCs w:val="44"/>
        </w:rPr>
        <w:t>平顶山市长期护理保险实施细则（试行）</w:t>
      </w:r>
    </w:p>
    <w:p>
      <w:pPr>
        <w:pStyle w:val="2"/>
        <w:jc w:val="center"/>
        <w:rPr>
          <w:rFonts w:hint="eastAsia"/>
        </w:rPr>
      </w:pPr>
      <w:r>
        <w:rPr>
          <w:rFonts w:hint="eastAsia" w:ascii="方正小标宋简体" w:eastAsia="方正小标宋简体"/>
          <w:sz w:val="44"/>
          <w:szCs w:val="44"/>
        </w:rPr>
        <w:t>（征求意见稿）</w:t>
      </w:r>
    </w:p>
    <w:bookmarkEnd w:id="0"/>
    <w:p>
      <w:pPr>
        <w:spacing w:line="600" w:lineRule="exact"/>
        <w:jc w:val="center"/>
        <w:rPr>
          <w:rFonts w:hint="eastAsia" w:ascii="黑体" w:hAnsi="黑体" w:eastAsia="黑体"/>
          <w:sz w:val="32"/>
          <w:szCs w:val="32"/>
        </w:rPr>
      </w:pPr>
      <w:r>
        <w:rPr>
          <w:rFonts w:hint="eastAsia" w:ascii="黑体" w:hAnsi="黑体" w:eastAsia="黑体"/>
          <w:sz w:val="32"/>
          <w:szCs w:val="32"/>
        </w:rPr>
        <w:t>第一章 总则</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第一条 为</w:t>
      </w:r>
      <w:r>
        <w:rPr>
          <w:rFonts w:ascii="仿宋_GB2312" w:eastAsia="仿宋_GB2312"/>
          <w:sz w:val="32"/>
          <w:szCs w:val="32"/>
        </w:rPr>
        <w:t>建立</w:t>
      </w:r>
      <w:r>
        <w:rPr>
          <w:rFonts w:hint="eastAsia" w:ascii="仿宋_GB2312" w:eastAsia="仿宋_GB2312"/>
          <w:sz w:val="32"/>
          <w:szCs w:val="32"/>
        </w:rPr>
        <w:t>平顶山市</w:t>
      </w:r>
      <w:r>
        <w:rPr>
          <w:rFonts w:ascii="仿宋_GB2312" w:eastAsia="仿宋_GB2312"/>
          <w:sz w:val="32"/>
          <w:szCs w:val="32"/>
        </w:rPr>
        <w:t>长期护理保险（以下简称长护险）制度</w:t>
      </w:r>
      <w:r>
        <w:rPr>
          <w:rFonts w:hint="eastAsia" w:ascii="仿宋_GB2312" w:eastAsia="仿宋_GB2312"/>
          <w:sz w:val="32"/>
          <w:szCs w:val="32"/>
        </w:rPr>
        <w:t>，</w:t>
      </w:r>
      <w:r>
        <w:rPr>
          <w:rFonts w:ascii="仿宋_GB2312" w:eastAsia="仿宋_GB2312"/>
          <w:sz w:val="32"/>
          <w:szCs w:val="32"/>
        </w:rPr>
        <w:t>保障失能人员基本护理需求，</w:t>
      </w:r>
      <w:r>
        <w:rPr>
          <w:rFonts w:hint="eastAsia" w:ascii="仿宋_GB2312" w:eastAsia="仿宋_GB2312"/>
          <w:sz w:val="32"/>
          <w:szCs w:val="32"/>
        </w:rPr>
        <w:t>根据《河南省建立长期护理保险制度实施方案》（豫政办〔2026〕24号），结合本市实际，制定本实施细则。</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第二条 本实施细则适用于本市行政区域内长护险的参保缴费、</w:t>
      </w:r>
      <w:r>
        <w:rPr>
          <w:rFonts w:ascii="仿宋_GB2312" w:eastAsia="仿宋_GB2312"/>
          <w:sz w:val="32"/>
          <w:szCs w:val="32"/>
        </w:rPr>
        <w:t>基金管理、</w:t>
      </w:r>
      <w:r>
        <w:rPr>
          <w:rFonts w:hint="eastAsia" w:ascii="仿宋_GB2312" w:eastAsia="仿宋_GB2312"/>
          <w:sz w:val="32"/>
          <w:szCs w:val="32"/>
        </w:rPr>
        <w:t>待遇保障、经办服务等活动。</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第三条 制度模式。长护险为独立险种，建立就业人员和未就业人员共同基金账户，实行市级统筹。</w:t>
      </w:r>
      <w:r>
        <w:rPr>
          <w:rFonts w:ascii="Times New Roman" w:hAnsi="Times New Roman" w:eastAsia="仿宋_GB2312" w:cs="Times New Roman"/>
          <w:sz w:val="32"/>
          <w:szCs w:val="32"/>
        </w:rPr>
        <w:t>依据缴费标准不同，待遇标准</w:t>
      </w:r>
      <w:r>
        <w:rPr>
          <w:rFonts w:hint="eastAsia" w:ascii="Times New Roman" w:hAnsi="Times New Roman" w:eastAsia="仿宋_GB2312" w:cs="Times New Roman"/>
          <w:sz w:val="32"/>
          <w:szCs w:val="32"/>
        </w:rPr>
        <w:t>按照</w:t>
      </w:r>
      <w:r>
        <w:rPr>
          <w:rFonts w:ascii="Times New Roman" w:hAnsi="Times New Roman" w:eastAsia="仿宋_GB2312" w:cs="Times New Roman"/>
          <w:sz w:val="32"/>
          <w:szCs w:val="32"/>
        </w:rPr>
        <w:t>就业人员和</w:t>
      </w:r>
      <w:r>
        <w:rPr>
          <w:rFonts w:hint="eastAsia" w:ascii="Times New Roman" w:hAnsi="Times New Roman" w:eastAsia="仿宋_GB2312" w:cs="Times New Roman"/>
          <w:sz w:val="32"/>
          <w:szCs w:val="32"/>
        </w:rPr>
        <w:t>未</w:t>
      </w:r>
      <w:r>
        <w:rPr>
          <w:rFonts w:ascii="Times New Roman" w:hAnsi="Times New Roman" w:eastAsia="仿宋_GB2312" w:cs="Times New Roman"/>
          <w:sz w:val="32"/>
          <w:szCs w:val="32"/>
        </w:rPr>
        <w:t>就业人员两类设置。</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第四条 统筹层次。长护险坚持“覆盖全民、统筹城乡、公平统一、安全规范、可持续”的总要求，按照市级统筹、分步实施的原则推进。</w:t>
      </w:r>
      <w:r>
        <w:rPr>
          <w:rFonts w:hint="eastAsia" w:ascii="仿宋_GB2312" w:hAnsi="仿宋_GB2312" w:eastAsia="仿宋_GB2312" w:cs="仿宋_GB2312"/>
          <w:sz w:val="32"/>
          <w:szCs w:val="32"/>
        </w:rPr>
        <w:t>市级统筹地区内制度政策统一、基金统收统支、管理服务一体。</w:t>
      </w:r>
      <w:r>
        <w:rPr>
          <w:rFonts w:hint="eastAsia" w:ascii="仿宋_GB2312" w:eastAsia="仿宋_GB2312"/>
          <w:sz w:val="32"/>
          <w:szCs w:val="32"/>
        </w:rPr>
        <w:t>2026年启动实施覆盖单位职工、退休人员、灵活就业人员等就业人员的长护险制度。2028年，启动实施覆盖未就业城乡居民的长护险制度。</w:t>
      </w:r>
    </w:p>
    <w:p>
      <w:pPr>
        <w:pBdr>
          <w:top w:val="none" w:color="auto" w:sz="0" w:space="1"/>
          <w:left w:val="none" w:color="auto" w:sz="0" w:space="4"/>
          <w:bottom w:val="none" w:color="auto" w:sz="0" w:space="1"/>
          <w:right w:val="none" w:color="auto" w:sz="0" w:space="4"/>
        </w:pBdr>
        <w:spacing w:line="600" w:lineRule="exact"/>
        <w:ind w:firstLine="640" w:firstLineChars="200"/>
        <w:rPr>
          <w:rFonts w:ascii="仿宋_GB2312" w:eastAsia="仿宋_GB2312"/>
          <w:sz w:val="32"/>
          <w:szCs w:val="32"/>
        </w:rPr>
      </w:pPr>
      <w:r>
        <w:rPr>
          <w:rFonts w:hint="eastAsia" w:ascii="仿宋_GB2312" w:eastAsia="仿宋_GB2312"/>
          <w:sz w:val="32"/>
          <w:szCs w:val="32"/>
        </w:rPr>
        <w:t>第五条 组织分工。各有关部门在国家、省、市政策框架下稳妥有序推进长护险。</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sz w:val="32"/>
          <w:szCs w:val="32"/>
        </w:rPr>
      </w:pPr>
      <w:r>
        <w:rPr>
          <w:rFonts w:hint="eastAsia" w:ascii="仿宋_GB2312" w:eastAsia="仿宋_GB2312"/>
          <w:sz w:val="32"/>
          <w:szCs w:val="32"/>
        </w:rPr>
        <w:t>（一）医保部门负责长护险</w:t>
      </w:r>
      <w:r>
        <w:rPr>
          <w:rFonts w:hint="eastAsia" w:ascii="仿宋_GB2312" w:hAnsi="仿宋_GB2312" w:eastAsia="仿宋_GB2312" w:cs="仿宋_GB2312"/>
          <w:sz w:val="32"/>
          <w:szCs w:val="32"/>
        </w:rPr>
        <w:t>政策制定和组织实施。</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（二）财政部门负责及时足额安排相关财政补助资金、配合医保部门做好基金测算等。</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（三）税务部门负责保费征收工作。</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（四）民政部门负责对提供长期护理服务的养老服务机构进行行业管理，统筹配置养老服务资源。</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（五）人力资源社会保障部门负责配合做好长护险与工伤保险衔接、长期照护师职业技能等级认定、退休人员基本养老金数据共享和保费代扣代缴等工作。</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（六）卫生健康部门负责鼓励基层医疗卫生机构提供长期护理服务、探索发挥家庭医生在失能等级评估中的作用等工作。</w:t>
      </w:r>
    </w:p>
    <w:p>
      <w:pPr>
        <w:pBdr>
          <w:top w:val="none" w:color="auto" w:sz="0" w:space="1"/>
          <w:left w:val="none" w:color="auto" w:sz="0" w:space="4"/>
          <w:bottom w:val="none" w:color="auto" w:sz="0" w:space="1"/>
          <w:right w:val="none" w:color="auto" w:sz="0" w:space="4"/>
        </w:pBd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w:t>
      </w:r>
      <w:r>
        <w:rPr>
          <w:rFonts w:ascii="Times New Roman" w:hAnsi="Times New Roman" w:eastAsia="仿宋_GB2312" w:cs="Times New Roman"/>
          <w:sz w:val="32"/>
          <w:szCs w:val="32"/>
        </w:rPr>
        <w:t>农业农村</w:t>
      </w:r>
      <w:r>
        <w:rPr>
          <w:rFonts w:hint="eastAsia" w:ascii="Times New Roman" w:hAnsi="Times New Roman" w:eastAsia="仿宋_GB2312" w:cs="Times New Roman"/>
          <w:sz w:val="32"/>
          <w:szCs w:val="32"/>
        </w:rPr>
        <w:t>部门负责</w:t>
      </w:r>
      <w:r>
        <w:rPr>
          <w:rFonts w:ascii="Times New Roman" w:hAnsi="Times New Roman" w:eastAsia="仿宋_GB2312" w:cs="Times New Roman"/>
          <w:sz w:val="32"/>
          <w:szCs w:val="32"/>
        </w:rPr>
        <w:t>做好防止返贫致贫对象认定和帮扶工作。</w:t>
      </w:r>
    </w:p>
    <w:p>
      <w:pPr>
        <w:pBdr>
          <w:top w:val="none" w:color="auto" w:sz="0" w:space="1"/>
          <w:left w:val="none" w:color="auto" w:sz="0" w:space="4"/>
          <w:bottom w:val="none" w:color="auto" w:sz="0" w:space="1"/>
          <w:right w:val="none" w:color="auto" w:sz="0" w:space="4"/>
        </w:pBdr>
        <w:spacing w:line="600" w:lineRule="exact"/>
        <w:ind w:firstLine="640" w:firstLineChars="200"/>
        <w:rPr>
          <w:rFonts w:ascii="仿宋_GB2312" w:eastAsia="仿宋_GB2312"/>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残联</w:t>
      </w:r>
      <w:r>
        <w:rPr>
          <w:rFonts w:hint="eastAsia" w:ascii="Times New Roman" w:hAnsi="Times New Roman" w:eastAsia="仿宋_GB2312" w:cs="Times New Roman"/>
          <w:sz w:val="32"/>
          <w:szCs w:val="32"/>
        </w:rPr>
        <w:t>负责</w:t>
      </w:r>
      <w:r>
        <w:rPr>
          <w:rFonts w:ascii="Times New Roman" w:hAnsi="Times New Roman" w:eastAsia="仿宋_GB2312" w:cs="Times New Roman"/>
          <w:sz w:val="32"/>
          <w:szCs w:val="32"/>
        </w:rPr>
        <w:t>协同做好残疾人参保相关工作。</w:t>
      </w:r>
    </w:p>
    <w:p>
      <w:pPr>
        <w:spacing w:line="600" w:lineRule="exact"/>
        <w:jc w:val="center"/>
        <w:rPr>
          <w:rFonts w:hint="eastAsia" w:ascii="黑体" w:hAnsi="黑体" w:eastAsia="黑体"/>
          <w:sz w:val="32"/>
          <w:szCs w:val="32"/>
        </w:rPr>
      </w:pPr>
      <w:r>
        <w:rPr>
          <w:rFonts w:hint="eastAsia" w:ascii="黑体" w:hAnsi="黑体" w:eastAsia="黑体"/>
          <w:sz w:val="32"/>
          <w:szCs w:val="32"/>
        </w:rPr>
        <w:t>第二章 参保缴费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第六条 参保范围。用人单位（包括企业、事业单位、机关、社会组织）以及单位职工、退休人员、灵活就业人员和未就业城乡居民等按照属地管理原则参加长护险。</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第七条 筹资标准。</w:t>
      </w:r>
      <w:r>
        <w:rPr>
          <w:rFonts w:hint="eastAsia" w:ascii="仿宋_GB2312" w:hAnsi="仿宋_GB2312" w:eastAsia="仿宋_GB2312" w:cs="仿宋_GB2312"/>
          <w:sz w:val="32"/>
          <w:szCs w:val="32"/>
        </w:rPr>
        <w:t>用人单位以及单位职工、退休人员、灵活就业人员和未就业城乡居民按照规定缴费参加长护险，与基本医疗保险费同步缴纳。</w:t>
      </w:r>
    </w:p>
    <w:p>
      <w:pPr>
        <w:overflowPunct w:val="0"/>
        <w:spacing w:line="600" w:lineRule="exact"/>
        <w:ind w:firstLine="640" w:firstLineChars="200"/>
        <w:rPr>
          <w:rFonts w:ascii="Times New Roman" w:hAnsi="Times New Roman" w:eastAsia="仿宋_GB2312" w:cs="Times New Roman"/>
          <w:sz w:val="32"/>
          <w:szCs w:val="32"/>
        </w:rPr>
      </w:pPr>
      <w:r>
        <w:rPr>
          <w:rFonts w:hint="eastAsia" w:ascii="仿宋_GB2312" w:eastAsia="仿宋_GB2312"/>
          <w:sz w:val="32"/>
          <w:szCs w:val="32"/>
        </w:rPr>
        <w:t>（一）单位职工。</w:t>
      </w:r>
      <w:r>
        <w:rPr>
          <w:rFonts w:hint="eastAsia" w:ascii="仿宋_GB2312" w:hAnsi="仿宋_GB2312" w:eastAsia="仿宋_GB2312" w:cs="仿宋_GB2312"/>
          <w:sz w:val="32"/>
          <w:szCs w:val="32"/>
          <w:lang w:eastAsia="zh-Hans"/>
        </w:rPr>
        <w:t>单位</w:t>
      </w:r>
      <w:r>
        <w:rPr>
          <w:rFonts w:hint="eastAsia" w:ascii="仿宋_GB2312" w:hAnsi="仿宋_GB2312" w:eastAsia="仿宋_GB2312" w:cs="仿宋_GB2312"/>
          <w:sz w:val="32"/>
          <w:szCs w:val="32"/>
        </w:rPr>
        <w:t>职工长护险费率为0.3%，由用人单位和个人按照同比例分担，各为0.15%。单位</w:t>
      </w:r>
      <w:r>
        <w:rPr>
          <w:rFonts w:hint="eastAsia" w:ascii="仿宋_GB2312" w:hAnsi="仿宋_GB2312" w:eastAsia="仿宋_GB2312" w:cs="仿宋_GB2312"/>
          <w:sz w:val="32"/>
          <w:szCs w:val="32"/>
          <w:lang w:eastAsia="zh-Hans"/>
        </w:rPr>
        <w:t>缴费基数为职工工资总额，个人缴费基数为本人工资收入。</w:t>
      </w:r>
      <w:r>
        <w:rPr>
          <w:rFonts w:hint="eastAsia" w:ascii="新宋体" w:hAnsi="新宋体" w:eastAsia="仿宋" w:cs="仿宋"/>
          <w:spacing w:val="6"/>
          <w:kern w:val="0"/>
          <w:sz w:val="32"/>
          <w:szCs w:val="32"/>
          <w:lang w:bidi="ar"/>
        </w:rPr>
        <w:t>个人缴费部分可由基本医疗保险个人账户中按月代扣代缴。</w:t>
      </w:r>
      <w:r>
        <w:rPr>
          <w:rFonts w:ascii="Times New Roman" w:hAnsi="Times New Roman" w:eastAsia="仿宋_GB2312" w:cs="Times New Roman"/>
          <w:sz w:val="32"/>
          <w:szCs w:val="32"/>
          <w:lang w:eastAsia="zh-Hans"/>
        </w:rPr>
        <w:t>职工</w:t>
      </w:r>
      <w:r>
        <w:rPr>
          <w:rFonts w:hint="eastAsia" w:ascii="Times New Roman" w:hAnsi="Times New Roman" w:eastAsia="仿宋_GB2312" w:cs="Times New Roman"/>
          <w:sz w:val="32"/>
          <w:szCs w:val="32"/>
        </w:rPr>
        <w:t>基本</w:t>
      </w:r>
      <w:r>
        <w:rPr>
          <w:rFonts w:hint="eastAsia" w:ascii="仿宋_GB2312" w:hAnsi="仿宋_GB2312" w:eastAsia="仿宋_GB2312" w:cs="仿宋_GB2312"/>
          <w:sz w:val="32"/>
          <w:szCs w:val="32"/>
        </w:rPr>
        <w:t>医疗保险</w:t>
      </w:r>
      <w:r>
        <w:rPr>
          <w:rFonts w:ascii="Times New Roman" w:hAnsi="Times New Roman" w:eastAsia="仿宋_GB2312" w:cs="Times New Roman"/>
          <w:sz w:val="32"/>
          <w:szCs w:val="32"/>
          <w:lang w:eastAsia="zh-Hans"/>
        </w:rPr>
        <w:t>个人账户可</w:t>
      </w:r>
      <w:r>
        <w:rPr>
          <w:rFonts w:ascii="Times New Roman" w:hAnsi="Times New Roman" w:eastAsia="仿宋_GB2312" w:cs="Times New Roman"/>
          <w:sz w:val="32"/>
          <w:szCs w:val="32"/>
        </w:rPr>
        <w:t>用于</w:t>
      </w:r>
      <w:r>
        <w:rPr>
          <w:rFonts w:ascii="Times New Roman" w:hAnsi="Times New Roman" w:eastAsia="仿宋_GB2312" w:cs="Times New Roman"/>
          <w:sz w:val="32"/>
          <w:szCs w:val="32"/>
          <w:lang w:eastAsia="zh-Hans"/>
        </w:rPr>
        <w:t>本人</w:t>
      </w:r>
      <w:r>
        <w:rPr>
          <w:rFonts w:ascii="Times New Roman" w:hAnsi="Times New Roman" w:eastAsia="仿宋_GB2312" w:cs="Times New Roman"/>
          <w:sz w:val="32"/>
          <w:szCs w:val="32"/>
        </w:rPr>
        <w:t>及近亲属（包括配偶、父母、子女、兄弟姐妹、祖父母、外祖父母、孙子女、外孙子女）</w:t>
      </w:r>
      <w:r>
        <w:rPr>
          <w:rFonts w:ascii="Times New Roman" w:hAnsi="Times New Roman" w:eastAsia="仿宋_GB2312" w:cs="Times New Roman"/>
          <w:sz w:val="32"/>
          <w:szCs w:val="32"/>
          <w:lang w:eastAsia="zh-Hans"/>
        </w:rPr>
        <w:t>参加</w:t>
      </w:r>
      <w:r>
        <w:rPr>
          <w:rFonts w:hint="eastAsia" w:ascii="Times New Roman" w:hAnsi="Times New Roman" w:eastAsia="仿宋_GB2312" w:cs="Times New Roman"/>
          <w:sz w:val="32"/>
          <w:szCs w:val="32"/>
          <w:lang w:eastAsia="zh-Hans"/>
        </w:rPr>
        <w:t>长护险</w:t>
      </w:r>
      <w:r>
        <w:rPr>
          <w:rFonts w:ascii="Times New Roman" w:hAnsi="Times New Roman" w:eastAsia="仿宋_GB2312" w:cs="Times New Roman"/>
          <w:sz w:val="32"/>
          <w:szCs w:val="32"/>
          <w:lang w:eastAsia="zh-Hans"/>
        </w:rPr>
        <w:t>的个人缴费。</w:t>
      </w:r>
    </w:p>
    <w:p>
      <w:pPr>
        <w:pBdr>
          <w:top w:val="none" w:color="auto" w:sz="0" w:space="1"/>
          <w:left w:val="none" w:color="auto" w:sz="0" w:space="4"/>
          <w:bottom w:val="none" w:color="auto" w:sz="0" w:space="1"/>
          <w:right w:val="none" w:color="auto" w:sz="0" w:space="4"/>
        </w:pBdr>
        <w:tabs>
          <w:tab w:val="left" w:pos="3360"/>
        </w:tabs>
        <w:spacing w:line="600" w:lineRule="exact"/>
        <w:ind w:firstLine="640" w:firstLineChars="200"/>
        <w:rPr>
          <w:rFonts w:ascii="Times New Roman" w:hAnsi="Times New Roman" w:eastAsia="仿宋_GB2312" w:cs="Times New Roman"/>
          <w:sz w:val="32"/>
          <w:szCs w:val="32"/>
        </w:rPr>
      </w:pPr>
      <w:r>
        <w:rPr>
          <w:rFonts w:hint="eastAsia" w:ascii="仿宋_GB2312" w:eastAsia="仿宋_GB2312"/>
          <w:sz w:val="32"/>
          <w:szCs w:val="32"/>
        </w:rPr>
        <w:t>（二）退休人员。</w:t>
      </w:r>
      <w:r>
        <w:rPr>
          <w:rFonts w:ascii="Times New Roman" w:hAnsi="Times New Roman" w:eastAsia="仿宋_GB2312" w:cs="Times New Roman"/>
          <w:sz w:val="32"/>
          <w:szCs w:val="32"/>
          <w:lang w:eastAsia="zh-Hans"/>
        </w:rPr>
        <w:t>退休人员</w:t>
      </w:r>
      <w:r>
        <w:rPr>
          <w:rFonts w:hint="eastAsia" w:ascii="Times New Roman" w:hAnsi="Times New Roman" w:eastAsia="仿宋_GB2312" w:cs="Times New Roman"/>
          <w:sz w:val="32"/>
          <w:szCs w:val="32"/>
        </w:rPr>
        <w:t>保费</w:t>
      </w:r>
      <w:r>
        <w:rPr>
          <w:rFonts w:ascii="Times New Roman" w:hAnsi="Times New Roman" w:eastAsia="仿宋_GB2312" w:cs="Times New Roman"/>
          <w:sz w:val="32"/>
          <w:szCs w:val="32"/>
        </w:rPr>
        <w:t>由个人缴</w:t>
      </w:r>
      <w:r>
        <w:rPr>
          <w:rFonts w:hint="eastAsia" w:ascii="Times New Roman" w:hAnsi="Times New Roman" w:eastAsia="仿宋_GB2312" w:cs="Times New Roman"/>
          <w:sz w:val="32"/>
          <w:szCs w:val="32"/>
        </w:rPr>
        <w:t>纳</w:t>
      </w:r>
      <w:r>
        <w:rPr>
          <w:rFonts w:ascii="Times New Roman" w:hAnsi="Times New Roman" w:eastAsia="仿宋_GB2312" w:cs="Times New Roman"/>
          <w:sz w:val="32"/>
          <w:szCs w:val="32"/>
          <w:lang w:eastAsia="zh-Hans"/>
        </w:rPr>
        <w:t>，</w:t>
      </w:r>
      <w:r>
        <w:rPr>
          <w:rFonts w:ascii="Times New Roman" w:hAnsi="Times New Roman" w:eastAsia="仿宋_GB2312" w:cs="Times New Roman"/>
          <w:sz w:val="32"/>
          <w:szCs w:val="32"/>
        </w:rPr>
        <w:t>原用人单位不缴</w:t>
      </w:r>
      <w:r>
        <w:rPr>
          <w:rFonts w:hint="eastAsia" w:ascii="Times New Roman" w:hAnsi="Times New Roman" w:eastAsia="仿宋_GB2312" w:cs="Times New Roman"/>
          <w:sz w:val="32"/>
          <w:szCs w:val="32"/>
        </w:rPr>
        <w:t>纳，</w:t>
      </w:r>
      <w:r>
        <w:rPr>
          <w:rFonts w:ascii="Times New Roman" w:hAnsi="Times New Roman" w:eastAsia="仿宋_GB2312" w:cs="Times New Roman"/>
          <w:sz w:val="32"/>
          <w:szCs w:val="32"/>
        </w:rPr>
        <w:t>费</w:t>
      </w:r>
      <w:r>
        <w:rPr>
          <w:rFonts w:ascii="Times New Roman" w:hAnsi="Times New Roman" w:eastAsia="仿宋_GB2312" w:cs="Times New Roman"/>
          <w:sz w:val="32"/>
          <w:szCs w:val="32"/>
          <w:lang w:eastAsia="zh-Hans"/>
        </w:rPr>
        <w:t>率</w:t>
      </w:r>
      <w:r>
        <w:rPr>
          <w:rFonts w:hint="eastAsia" w:ascii="Times New Roman" w:hAnsi="Times New Roman" w:eastAsia="仿宋_GB2312" w:cs="Times New Roman"/>
          <w:sz w:val="32"/>
          <w:szCs w:val="32"/>
          <w:lang w:eastAsia="zh-Hans"/>
        </w:rPr>
        <w:t>为</w:t>
      </w:r>
      <w:r>
        <w:rPr>
          <w:rFonts w:hint="eastAsia" w:ascii="Times New Roman" w:hAnsi="Times New Roman" w:eastAsia="仿宋_GB2312" w:cs="Times New Roman"/>
          <w:sz w:val="32"/>
          <w:szCs w:val="32"/>
        </w:rPr>
        <w:t>0.15%，</w:t>
      </w:r>
      <w:r>
        <w:rPr>
          <w:rFonts w:hint="eastAsia" w:ascii="仿宋_GB2312" w:hAnsi="仿宋_GB2312" w:eastAsia="仿宋_GB2312" w:cs="仿宋_GB2312"/>
          <w:kern w:val="0"/>
          <w:sz w:val="32"/>
          <w:szCs w:val="32"/>
        </w:rPr>
        <w:t>缴费基数为本人上年度12月份基本养老金（当年退休人员，以退休当月基本养老金为缴费基数）。</w:t>
      </w:r>
      <w:r>
        <w:rPr>
          <w:rFonts w:hint="eastAsia" w:ascii="Times New Roman" w:hAnsi="Times New Roman" w:eastAsia="仿宋_GB2312" w:cs="Times New Roman"/>
          <w:sz w:val="32"/>
          <w:szCs w:val="32"/>
        </w:rPr>
        <w:t>保费可由医保部门从其职工基本医疗保险个人账户中代扣代缴，也可由发放职工基本养老金的社会保险经办机构代扣代缴。已办理养老退休、未办理医保退休人员，可继续以单位职工或灵活就业人员身份参保并享受相应待遇。</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（三）灵活就业人员。灵活就业人员</w:t>
      </w:r>
      <w:r>
        <w:rPr>
          <w:rFonts w:hint="eastAsia" w:ascii="仿宋_GB2312" w:hAnsi="仿宋_GB2312" w:eastAsia="仿宋_GB2312" w:cs="仿宋_GB2312"/>
          <w:kern w:val="0"/>
          <w:sz w:val="32"/>
          <w:szCs w:val="32"/>
        </w:rPr>
        <w:t>（含领取失业保险金人员，下同）费率为0.3%，缴费基数为统筹地区上一年度社会平均工资的60%，由个人按照规定缴费；未参加职工基本</w:t>
      </w:r>
      <w:r>
        <w:rPr>
          <w:rFonts w:hint="eastAsia" w:ascii="仿宋_GB2312" w:hAnsi="仿宋_GB2312" w:eastAsia="仿宋_GB2312" w:cs="仿宋_GB2312"/>
          <w:sz w:val="32"/>
          <w:szCs w:val="32"/>
        </w:rPr>
        <w:t>医疗保险</w:t>
      </w:r>
      <w:r>
        <w:rPr>
          <w:rFonts w:hint="eastAsia" w:ascii="仿宋_GB2312" w:hAnsi="仿宋_GB2312" w:eastAsia="仿宋_GB2312" w:cs="仿宋_GB2312"/>
          <w:kern w:val="0"/>
          <w:sz w:val="32"/>
          <w:szCs w:val="32"/>
        </w:rPr>
        <w:t>的灵活就业人员在基本</w:t>
      </w:r>
      <w:r>
        <w:rPr>
          <w:rFonts w:hint="eastAsia" w:ascii="仿宋_GB2312" w:hAnsi="仿宋_GB2312" w:eastAsia="仿宋_GB2312" w:cs="仿宋_GB2312"/>
          <w:sz w:val="32"/>
          <w:szCs w:val="32"/>
        </w:rPr>
        <w:t>医疗保险</w:t>
      </w:r>
      <w:r>
        <w:rPr>
          <w:rFonts w:hint="eastAsia" w:ascii="仿宋_GB2312" w:hAnsi="仿宋_GB2312" w:eastAsia="仿宋_GB2312" w:cs="仿宋_GB2312"/>
          <w:kern w:val="0"/>
          <w:sz w:val="32"/>
          <w:szCs w:val="32"/>
        </w:rPr>
        <w:t>参保地按照未就业城乡居民参保政策参保缴费。</w:t>
      </w:r>
    </w:p>
    <w:p>
      <w:pPr>
        <w:pBdr>
          <w:top w:val="none" w:color="auto" w:sz="0" w:space="1"/>
          <w:left w:val="none" w:color="auto" w:sz="0" w:space="4"/>
          <w:bottom w:val="none" w:color="auto" w:sz="0" w:space="1"/>
          <w:right w:val="none" w:color="auto" w:sz="0" w:space="4"/>
        </w:pBdr>
        <w:spacing w:line="600" w:lineRule="exact"/>
        <w:ind w:firstLine="640" w:firstLineChars="200"/>
        <w:rPr>
          <w:rFonts w:ascii="Times New Roman" w:hAnsi="Times New Roman" w:eastAsia="仿宋_GB2312" w:cs="Times New Roman"/>
          <w:sz w:val="32"/>
          <w:szCs w:val="32"/>
        </w:rPr>
      </w:pPr>
      <w:r>
        <w:rPr>
          <w:rFonts w:hint="eastAsia" w:ascii="仿宋_GB2312" w:eastAsia="仿宋_GB2312"/>
          <w:sz w:val="32"/>
          <w:szCs w:val="32"/>
        </w:rPr>
        <w:t>（四）</w:t>
      </w:r>
      <w:r>
        <w:rPr>
          <w:rFonts w:hint="eastAsia" w:ascii="仿宋_GB2312" w:hAnsi="仿宋_GB2312" w:eastAsia="仿宋_GB2312" w:cs="仿宋_GB2312"/>
          <w:sz w:val="32"/>
          <w:szCs w:val="32"/>
        </w:rPr>
        <w:t>未就业城乡居民</w:t>
      </w:r>
      <w:r>
        <w:rPr>
          <w:rFonts w:hint="eastAsia" w:ascii="仿宋_GB2312" w:eastAsia="仿宋_GB2312"/>
          <w:sz w:val="32"/>
          <w:szCs w:val="32"/>
        </w:rPr>
        <w:t>。</w:t>
      </w:r>
      <w:r>
        <w:rPr>
          <w:rFonts w:ascii="Times New Roman" w:hAnsi="Times New Roman" w:eastAsia="仿宋_GB2312" w:cs="Times New Roman"/>
          <w:sz w:val="32"/>
          <w:szCs w:val="32"/>
        </w:rPr>
        <w:t>未就业城乡居民保</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按</w:t>
      </w:r>
      <w:r>
        <w:rPr>
          <w:rFonts w:hint="eastAsia" w:ascii="Times New Roman" w:hAnsi="Times New Roman" w:eastAsia="仿宋_GB2312" w:cs="Times New Roman"/>
          <w:sz w:val="32"/>
          <w:szCs w:val="32"/>
        </w:rPr>
        <w:t>年度</w:t>
      </w:r>
      <w:r>
        <w:rPr>
          <w:rFonts w:ascii="Times New Roman" w:hAnsi="Times New Roman" w:eastAsia="仿宋_GB2312" w:cs="Times New Roman"/>
          <w:sz w:val="32"/>
          <w:szCs w:val="32"/>
        </w:rPr>
        <w:t>筹集。筹资由</w:t>
      </w:r>
      <w:r>
        <w:rPr>
          <w:rFonts w:ascii="Times New Roman" w:hAnsi="Times New Roman" w:eastAsia="仿宋_GB2312" w:cs="Times New Roman"/>
          <w:sz w:val="32"/>
          <w:szCs w:val="32"/>
          <w:lang w:eastAsia="zh-Hans"/>
        </w:rPr>
        <w:t>个人</w:t>
      </w:r>
      <w:r>
        <w:rPr>
          <w:rFonts w:ascii="Times New Roman" w:hAnsi="Times New Roman" w:eastAsia="仿宋_GB2312" w:cs="Times New Roman"/>
          <w:sz w:val="32"/>
          <w:szCs w:val="32"/>
        </w:rPr>
        <w:t>缴费</w:t>
      </w:r>
      <w:r>
        <w:rPr>
          <w:rFonts w:ascii="Times New Roman" w:hAnsi="Times New Roman" w:eastAsia="仿宋_GB2312" w:cs="Times New Roman"/>
          <w:sz w:val="32"/>
          <w:szCs w:val="32"/>
          <w:lang w:eastAsia="zh-Hans"/>
        </w:rPr>
        <w:t>和</w:t>
      </w:r>
      <w:r>
        <w:rPr>
          <w:rFonts w:ascii="Times New Roman" w:hAnsi="Times New Roman" w:eastAsia="仿宋_GB2312" w:cs="Times New Roman"/>
          <w:sz w:val="32"/>
          <w:szCs w:val="32"/>
        </w:rPr>
        <w:t>政府补助构成，</w:t>
      </w:r>
      <w:r>
        <w:rPr>
          <w:rFonts w:hint="eastAsia" w:ascii="仿宋_GB2312" w:hAnsi="仿宋_GB2312" w:eastAsia="仿宋_GB2312" w:cs="仿宋_GB2312"/>
          <w:kern w:val="0"/>
          <w:sz w:val="32"/>
          <w:szCs w:val="32"/>
          <w:lang w:val="en"/>
        </w:rPr>
        <w:t>个人缴费和政府补助比例为</w:t>
      </w:r>
      <w:r>
        <w:rPr>
          <w:rFonts w:hint="eastAsia" w:ascii="仿宋_GB2312" w:hAnsi="仿宋_GB2312" w:eastAsia="仿宋_GB2312" w:cs="仿宋_GB2312"/>
          <w:kern w:val="0"/>
          <w:sz w:val="32"/>
          <w:szCs w:val="32"/>
        </w:rPr>
        <w:t>1:1，</w:t>
      </w:r>
      <w:r>
        <w:rPr>
          <w:rFonts w:ascii="Times New Roman" w:hAnsi="Times New Roman" w:eastAsia="仿宋_GB2312" w:cs="Times New Roman"/>
          <w:sz w:val="32"/>
          <w:szCs w:val="32"/>
        </w:rPr>
        <w:t>政府</w:t>
      </w:r>
      <w:r>
        <w:rPr>
          <w:rFonts w:ascii="Times New Roman" w:hAnsi="Times New Roman" w:eastAsia="仿宋_GB2312" w:cs="Times New Roman"/>
          <w:sz w:val="32"/>
          <w:szCs w:val="32"/>
          <w:lang w:eastAsia="zh-Hans"/>
        </w:rPr>
        <w:t>补助由中央财政和地方财政共同承担</w:t>
      </w:r>
      <w:r>
        <w:rPr>
          <w:rFonts w:hint="eastAsia" w:ascii="Times New Roman" w:hAnsi="Times New Roman" w:eastAsia="仿宋_GB2312" w:cs="Times New Roman"/>
          <w:sz w:val="32"/>
          <w:szCs w:val="32"/>
          <w:lang w:eastAsia="zh-Hans"/>
        </w:rPr>
        <w:t>。</w:t>
      </w:r>
      <w:r>
        <w:rPr>
          <w:rFonts w:hint="eastAsia" w:ascii="仿宋_GB2312" w:hAnsi="仿宋_GB2312" w:eastAsia="仿宋_GB2312" w:cs="仿宋_GB2312"/>
          <w:kern w:val="0"/>
          <w:sz w:val="32"/>
          <w:szCs w:val="32"/>
          <w:lang w:val="en"/>
        </w:rPr>
        <w:t>建立</w:t>
      </w:r>
      <w:r>
        <w:rPr>
          <w:rFonts w:hint="eastAsia" w:ascii="仿宋_GB2312" w:hAnsi="仿宋_GB2312" w:eastAsia="仿宋_GB2312" w:cs="仿宋_GB2312"/>
          <w:kern w:val="0"/>
          <w:sz w:val="32"/>
          <w:szCs w:val="32"/>
        </w:rPr>
        <w:t>未就业城乡居民长护险制</w:t>
      </w:r>
      <w:r>
        <w:rPr>
          <w:rFonts w:hint="eastAsia" w:ascii="仿宋_GB2312" w:hAnsi="仿宋_GB2312" w:eastAsia="仿宋_GB2312" w:cs="仿宋_GB2312"/>
          <w:kern w:val="0"/>
          <w:sz w:val="32"/>
          <w:szCs w:val="32"/>
          <w:lang w:val="en"/>
        </w:rPr>
        <w:t>度的当年，以</w:t>
      </w:r>
      <w:r>
        <w:rPr>
          <w:rFonts w:hint="eastAsia" w:ascii="仿宋_GB2312" w:eastAsia="仿宋_GB2312"/>
          <w:sz w:val="32"/>
          <w:szCs w:val="32"/>
        </w:rPr>
        <w:t>统筹地区</w:t>
      </w:r>
      <w:r>
        <w:rPr>
          <w:rFonts w:hint="eastAsia" w:ascii="仿宋_GB2312" w:hAnsi="仿宋_GB2312" w:eastAsia="仿宋_GB2312" w:cs="仿宋_GB2312"/>
          <w:kern w:val="0"/>
          <w:sz w:val="32"/>
          <w:szCs w:val="32"/>
          <w:lang w:val="en"/>
        </w:rPr>
        <w:t>上一年度城乡居民人均可支配收入为缴费基数</w:t>
      </w:r>
      <w:r>
        <w:rPr>
          <w:rFonts w:ascii="仿宋_GB2312" w:hAnsi="仿宋_GB2312" w:eastAsia="仿宋_GB2312" w:cs="仿宋_GB2312"/>
          <w:kern w:val="0"/>
          <w:sz w:val="32"/>
          <w:szCs w:val="32"/>
          <w:lang w:val="en"/>
        </w:rPr>
        <w:t>，</w:t>
      </w:r>
      <w:r>
        <w:rPr>
          <w:rFonts w:hint="eastAsia" w:ascii="仿宋_GB2312" w:hAnsi="仿宋_GB2312" w:eastAsia="仿宋_GB2312" w:cs="仿宋_GB2312"/>
          <w:kern w:val="0"/>
          <w:sz w:val="32"/>
          <w:szCs w:val="32"/>
        </w:rPr>
        <w:t>费率</w:t>
      </w:r>
      <w:r>
        <w:rPr>
          <w:rFonts w:hint="eastAsia" w:ascii="仿宋_GB2312" w:hAnsi="仿宋_GB2312" w:eastAsia="仿宋_GB2312" w:cs="仿宋_GB2312"/>
          <w:kern w:val="0"/>
          <w:sz w:val="32"/>
          <w:szCs w:val="32"/>
          <w:lang w:val="en"/>
        </w:rPr>
        <w:t>从</w:t>
      </w:r>
      <w:r>
        <w:rPr>
          <w:rFonts w:hint="eastAsia" w:ascii="仿宋_GB2312" w:hAnsi="仿宋_GB2312" w:eastAsia="仿宋_GB2312" w:cs="仿宋_GB2312"/>
          <w:kern w:val="0"/>
          <w:sz w:val="32"/>
          <w:szCs w:val="32"/>
        </w:rPr>
        <w:t>0.15%起步，用5年左右时间逐步过渡到0.3%左右。政府补助办法、缴费基数、费率等具体内容另行规定。</w:t>
      </w:r>
    </w:p>
    <w:p>
      <w:pPr>
        <w:pBdr>
          <w:top w:val="none" w:color="auto" w:sz="0" w:space="1"/>
          <w:left w:val="none" w:color="auto" w:sz="0" w:space="4"/>
          <w:bottom w:val="none" w:color="auto" w:sz="0" w:space="1"/>
          <w:right w:val="none" w:color="auto" w:sz="0" w:space="4"/>
        </w:pBdr>
        <w:spacing w:line="600" w:lineRule="exact"/>
        <w:ind w:firstLine="640"/>
        <w:rPr>
          <w:rFonts w:hint="eastAsia" w:ascii="仿宋_GB2312" w:hAnsi="仿宋_GB2312" w:eastAsia="仿宋_GB2312" w:cs="仿宋_GB2312"/>
          <w:kern w:val="0"/>
          <w:sz w:val="32"/>
          <w:szCs w:val="32"/>
        </w:rPr>
      </w:pPr>
      <w:r>
        <w:rPr>
          <w:rFonts w:hint="eastAsia" w:ascii="仿宋_GB2312" w:eastAsia="仿宋_GB2312"/>
          <w:sz w:val="32"/>
          <w:szCs w:val="32"/>
        </w:rPr>
        <w:t>（五）困难人群。</w:t>
      </w:r>
      <w:r>
        <w:rPr>
          <w:rFonts w:hint="eastAsia" w:ascii="仿宋_GB2312" w:hAnsi="仿宋_GB2312" w:eastAsia="仿宋_GB2312" w:cs="仿宋_GB2312"/>
          <w:kern w:val="0"/>
          <w:sz w:val="32"/>
          <w:szCs w:val="32"/>
        </w:rPr>
        <w:t>政府对符合条件的困难人群按未就业城乡居民参加长护险个人缴费部分予以分类资助，全额资助特困人员，定额资助低保对象、符合条件的防止返贫致贫对象，定额资助标准为个人缴费部分的</w:t>
      </w:r>
      <w:r>
        <w:rPr>
          <w:rFonts w:ascii="仿宋_GB2312" w:hAnsi="仿宋_GB2312" w:eastAsia="仿宋_GB2312" w:cs="仿宋_GB2312"/>
          <w:kern w:val="0"/>
          <w:sz w:val="32"/>
          <w:szCs w:val="32"/>
          <w:lang w:val="en"/>
        </w:rPr>
        <w:t>5</w:t>
      </w:r>
      <w:r>
        <w:rPr>
          <w:rFonts w:hint="eastAsia" w:ascii="仿宋_GB2312" w:hAnsi="仿宋_GB2312" w:eastAsia="仿宋_GB2312" w:cs="仿宋_GB2312"/>
          <w:kern w:val="0"/>
          <w:sz w:val="32"/>
          <w:szCs w:val="32"/>
        </w:rPr>
        <w:t>0%。</w:t>
      </w:r>
    </w:p>
    <w:p>
      <w:pPr>
        <w:pBdr>
          <w:top w:val="none" w:color="auto" w:sz="0" w:space="1"/>
          <w:left w:val="none" w:color="auto" w:sz="0" w:space="4"/>
          <w:bottom w:val="none" w:color="auto" w:sz="0" w:space="1"/>
          <w:right w:val="none" w:color="auto" w:sz="0" w:space="4"/>
        </w:pBdr>
        <w:spacing w:line="600" w:lineRule="exact"/>
        <w:ind w:firstLine="64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（六）18周岁以下未就业人员。</w:t>
      </w:r>
      <w:r>
        <w:rPr>
          <w:rFonts w:hint="eastAsia" w:ascii="仿宋_GB2312" w:hAnsi="仿宋_GB2312" w:eastAsia="仿宋_GB2312" w:cs="仿宋_GB2312"/>
          <w:kern w:val="0"/>
          <w:sz w:val="32"/>
          <w:szCs w:val="32"/>
        </w:rPr>
        <w:t>18周岁以下未就业人员跟随父母或其他法定抚养人等参保，不单独筹资，享受未就业</w:t>
      </w:r>
      <w:r>
        <w:rPr>
          <w:rFonts w:hint="eastAsia" w:ascii="仿宋_GB2312" w:hAnsi="仿宋_GB2312" w:eastAsia="仿宋_GB2312" w:cs="仿宋_GB2312"/>
          <w:sz w:val="32"/>
          <w:szCs w:val="32"/>
        </w:rPr>
        <w:t>城乡居民</w:t>
      </w:r>
      <w:r>
        <w:rPr>
          <w:rFonts w:hint="eastAsia" w:ascii="仿宋_GB2312" w:hAnsi="仿宋_GB2312" w:eastAsia="仿宋_GB2312" w:cs="仿宋_GB2312"/>
          <w:kern w:val="0"/>
          <w:sz w:val="32"/>
          <w:szCs w:val="32"/>
        </w:rPr>
        <w:t>长护险待遇。孤儿、事实无人抚养儿童等</w:t>
      </w:r>
      <w:r>
        <w:rPr>
          <w:rFonts w:ascii="仿宋_GB2312" w:hAnsi="仿宋_GB2312" w:eastAsia="仿宋_GB2312" w:cs="仿宋_GB2312"/>
          <w:kern w:val="0"/>
          <w:sz w:val="32"/>
          <w:szCs w:val="32"/>
        </w:rPr>
        <w:t>人员</w:t>
      </w:r>
      <w:r>
        <w:rPr>
          <w:rFonts w:hint="eastAsia" w:ascii="仿宋_GB2312" w:hAnsi="仿宋_GB2312" w:eastAsia="仿宋_GB2312" w:cs="仿宋_GB2312"/>
          <w:kern w:val="0"/>
          <w:sz w:val="32"/>
          <w:szCs w:val="32"/>
        </w:rPr>
        <w:t>无法跟从参保的，视同参保。</w:t>
      </w:r>
    </w:p>
    <w:p>
      <w:pPr>
        <w:spacing w:line="600" w:lineRule="exact"/>
        <w:jc w:val="center"/>
        <w:rPr>
          <w:rFonts w:hint="eastAsia" w:ascii="黑体" w:hAnsi="黑体" w:eastAsia="黑体"/>
          <w:sz w:val="32"/>
          <w:szCs w:val="32"/>
        </w:rPr>
      </w:pPr>
      <w:r>
        <w:rPr>
          <w:rFonts w:hint="eastAsia" w:ascii="黑体" w:hAnsi="黑体" w:eastAsia="黑体"/>
          <w:sz w:val="32"/>
          <w:szCs w:val="32"/>
        </w:rPr>
        <w:t>第三章 待遇保障</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第八条 保障对象。按照规定参保缴费且失能状态长期持续（一般为6个月以上），经申请通过评估认定的重度失能人员。随着经济发展和制度完善，根据国家和省要求逐步扩大保障对象范围，并根据基金支出需求动态调整费率。</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第九条 支付范围。执行国家统一的长护险服务项目目录。</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（一）基金主要用于支付符合规定的长期护理服务机构和人员提供长期护理基本服务所发生的费用，</w:t>
      </w:r>
      <w:r>
        <w:rPr>
          <w:rFonts w:hint="eastAsia" w:ascii="仿宋_GB2312" w:hAnsi="仿宋_GB2312" w:eastAsia="仿宋_GB2312" w:cs="仿宋_GB2312"/>
          <w:kern w:val="0"/>
          <w:sz w:val="32"/>
          <w:szCs w:val="32"/>
        </w:rPr>
        <w:t>原则上不直接向</w:t>
      </w:r>
      <w:r>
        <w:rPr>
          <w:rFonts w:ascii="仿宋_GB2312" w:hAnsi="仿宋_GB2312" w:eastAsia="仿宋_GB2312" w:cs="仿宋_GB2312"/>
          <w:kern w:val="0"/>
          <w:sz w:val="32"/>
          <w:szCs w:val="32"/>
          <w:lang w:val="en"/>
        </w:rPr>
        <w:t>保障对象</w:t>
      </w:r>
      <w:r>
        <w:rPr>
          <w:rFonts w:hint="eastAsia" w:ascii="仿宋_GB2312" w:hAnsi="仿宋_GB2312" w:eastAsia="仿宋_GB2312" w:cs="仿宋_GB2312"/>
          <w:kern w:val="0"/>
          <w:sz w:val="32"/>
          <w:szCs w:val="32"/>
        </w:rPr>
        <w:t>发放现金。</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（二）基金不予支付机构床位费、膳食费等非护理服务费用以及应由医疗保险支付的医疗费用和法律、法规规定的其他不予支付的费用。</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第十条 服务方式。长期护理服务方式主要包括机构护理、社区护理和居家护理，</w:t>
      </w:r>
      <w:r>
        <w:rPr>
          <w:rFonts w:ascii="仿宋_GB2312" w:eastAsia="仿宋_GB2312"/>
          <w:sz w:val="32"/>
          <w:szCs w:val="32"/>
        </w:rPr>
        <w:t>符合享受长护险待遇的参保人员</w:t>
      </w:r>
      <w:r>
        <w:rPr>
          <w:rFonts w:hint="eastAsia" w:ascii="仿宋_GB2312" w:eastAsia="仿宋_GB2312"/>
          <w:sz w:val="32"/>
          <w:szCs w:val="32"/>
        </w:rPr>
        <w:t>可选择一种服务方式。</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（一）居家护理，是指长护服务机构在参保人员所居住的家庭住所内为参保人员提供长期护理服务。</w:t>
      </w:r>
    </w:p>
    <w:p>
      <w:pPr>
        <w:pStyle w:val="2"/>
        <w:spacing w:line="60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（二）社区护理，是指长护服务机构以社区为依托为参保人员提供就近就便、非全日的长期护理服务。</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（三）机构护理，是指长护服务机构在所开设的机构内为参保人员提供全日的长期护理服务。</w:t>
      </w:r>
    </w:p>
    <w:p>
      <w:pPr>
        <w:pBdr>
          <w:top w:val="none" w:color="auto" w:sz="0" w:space="1"/>
          <w:left w:val="none" w:color="auto" w:sz="0" w:space="4"/>
          <w:bottom w:val="none" w:color="auto" w:sz="0" w:space="1"/>
          <w:right w:val="none" w:color="auto" w:sz="0" w:space="1"/>
        </w:pBdr>
        <w:spacing w:line="600" w:lineRule="exact"/>
        <w:ind w:firstLine="640" w:firstLineChars="200"/>
        <w:rPr>
          <w:rFonts w:ascii="仿宋_GB2312" w:eastAsia="仿宋_GB2312"/>
          <w:sz w:val="32"/>
          <w:szCs w:val="32"/>
        </w:rPr>
      </w:pPr>
      <w:r>
        <w:rPr>
          <w:rFonts w:hint="eastAsia" w:ascii="仿宋_GB2312" w:eastAsia="仿宋_GB2312"/>
          <w:sz w:val="32"/>
          <w:szCs w:val="32"/>
        </w:rPr>
        <w:t>第十一条 待遇标准。长护险待遇享受不</w:t>
      </w:r>
      <w:r>
        <w:rPr>
          <w:rFonts w:hint="eastAsia" w:ascii="仿宋_GB2312" w:hAnsi="仿宋_GB2312" w:eastAsia="仿宋_GB2312" w:cs="仿宋_GB2312"/>
          <w:kern w:val="0"/>
          <w:sz w:val="32"/>
          <w:szCs w:val="32"/>
        </w:rPr>
        <w:t>设起付标准</w:t>
      </w:r>
      <w:r>
        <w:rPr>
          <w:rFonts w:hint="eastAsia" w:ascii="仿宋_GB2312" w:hAnsi="仿宋_GB2312" w:eastAsia="仿宋_GB2312" w:cs="仿宋_GB2312"/>
          <w:kern w:val="0"/>
          <w:sz w:val="32"/>
          <w:szCs w:val="32"/>
          <w:lang w:val="en"/>
        </w:rPr>
        <w:t>。</w:t>
      </w:r>
      <w:r>
        <w:rPr>
          <w:rFonts w:hint="eastAsia" w:ascii="仿宋_GB2312" w:hAnsi="仿宋_GB2312" w:eastAsia="仿宋_GB2312" w:cs="仿宋_GB2312"/>
          <w:kern w:val="0"/>
          <w:sz w:val="32"/>
          <w:szCs w:val="32"/>
        </w:rPr>
        <w:t>按照单位职工参保政策</w:t>
      </w:r>
      <w:r>
        <w:rPr>
          <w:rFonts w:ascii="仿宋_GB2312" w:hAnsi="仿宋_GB2312" w:eastAsia="仿宋_GB2312" w:cs="仿宋_GB2312"/>
          <w:kern w:val="0"/>
          <w:sz w:val="32"/>
          <w:szCs w:val="32"/>
          <w:lang w:val="en"/>
        </w:rPr>
        <w:t>参保</w:t>
      </w:r>
      <w:r>
        <w:rPr>
          <w:rFonts w:hint="eastAsia" w:ascii="仿宋_GB2312" w:hAnsi="仿宋_GB2312" w:eastAsia="仿宋_GB2312" w:cs="仿宋_GB2312"/>
          <w:kern w:val="0"/>
          <w:sz w:val="32"/>
          <w:szCs w:val="32"/>
          <w:lang w:val="en"/>
        </w:rPr>
        <w:t>的单位职工、退休人员和灵活就业人员</w:t>
      </w:r>
      <w:r>
        <w:rPr>
          <w:rFonts w:ascii="仿宋_GB2312" w:hAnsi="仿宋_GB2312" w:eastAsia="仿宋_GB2312" w:cs="仿宋_GB2312"/>
          <w:kern w:val="0"/>
          <w:sz w:val="32"/>
          <w:szCs w:val="32"/>
          <w:lang w:val="en"/>
        </w:rPr>
        <w:t>，</w:t>
      </w:r>
      <w:r>
        <w:rPr>
          <w:rFonts w:ascii="仿宋_GB2312" w:hAnsi="仿宋_GB2312" w:eastAsia="仿宋_GB2312" w:cs="仿宋_GB2312"/>
          <w:color w:val="000000"/>
          <w:kern w:val="0"/>
          <w:sz w:val="32"/>
          <w:szCs w:val="32"/>
          <w:lang w:val="en"/>
        </w:rPr>
        <w:t>基金支付比例</w:t>
      </w:r>
      <w:r>
        <w:rPr>
          <w:rFonts w:hint="eastAsia" w:ascii="仿宋_GB2312" w:hAnsi="仿宋_GB2312" w:eastAsia="仿宋_GB2312" w:cs="仿宋_GB2312"/>
          <w:color w:val="000000"/>
          <w:kern w:val="0"/>
          <w:sz w:val="32"/>
          <w:szCs w:val="32"/>
          <w:lang w:val="en"/>
        </w:rPr>
        <w:t>为：居家护理</w:t>
      </w:r>
      <w:r>
        <w:rPr>
          <w:rFonts w:ascii="仿宋_GB2312" w:hAnsi="仿宋_GB2312" w:eastAsia="仿宋_GB2312" w:cs="仿宋_GB2312"/>
          <w:color w:val="000000"/>
          <w:kern w:val="0"/>
          <w:sz w:val="32"/>
          <w:szCs w:val="32"/>
        </w:rPr>
        <w:t>7</w:t>
      </w:r>
      <w:r>
        <w:rPr>
          <w:rFonts w:hint="eastAsia" w:ascii="仿宋_GB2312" w:hAnsi="仿宋_GB2312" w:eastAsia="仿宋_GB2312" w:cs="仿宋_GB2312"/>
          <w:color w:val="000000"/>
          <w:kern w:val="0"/>
          <w:sz w:val="32"/>
          <w:szCs w:val="32"/>
          <w:lang w:val="en"/>
        </w:rPr>
        <w:t>5</w:t>
      </w:r>
      <w:r>
        <w:rPr>
          <w:rFonts w:ascii="仿宋_GB2312" w:hAnsi="仿宋_GB2312" w:eastAsia="仿宋_GB2312" w:cs="仿宋_GB2312"/>
          <w:color w:val="000000"/>
          <w:kern w:val="0"/>
          <w:sz w:val="32"/>
          <w:szCs w:val="32"/>
          <w:lang w:val="en"/>
        </w:rPr>
        <w:t>%</w:t>
      </w:r>
      <w:r>
        <w:rPr>
          <w:rFonts w:hint="eastAsia" w:ascii="仿宋_GB2312" w:hAnsi="仿宋_GB2312" w:eastAsia="仿宋_GB2312" w:cs="仿宋_GB2312"/>
          <w:color w:val="000000"/>
          <w:kern w:val="0"/>
          <w:sz w:val="32"/>
          <w:szCs w:val="32"/>
          <w:lang w:val="en"/>
        </w:rPr>
        <w:t>、社区护理70%、机构护理65%。</w:t>
      </w:r>
      <w:r>
        <w:rPr>
          <w:rFonts w:hint="eastAsia" w:ascii="仿宋_GB2312" w:hAnsi="仿宋_GB2312" w:eastAsia="仿宋_GB2312" w:cs="仿宋_GB2312"/>
          <w:kern w:val="0"/>
          <w:sz w:val="32"/>
          <w:szCs w:val="32"/>
        </w:rPr>
        <w:t>基金最高支付限额每年15000元，每月1250元。</w:t>
      </w:r>
      <w:r>
        <w:rPr>
          <w:rFonts w:hint="eastAsia" w:ascii="仿宋_GB2312" w:hAnsi="仿宋_GB2312" w:eastAsia="仿宋_GB2312" w:cs="仿宋_GB2312"/>
          <w:color w:val="000000"/>
          <w:kern w:val="0"/>
          <w:sz w:val="32"/>
          <w:szCs w:val="32"/>
          <w:lang w:val="en"/>
        </w:rPr>
        <w:t>按照</w:t>
      </w:r>
      <w:r>
        <w:rPr>
          <w:rFonts w:ascii="仿宋_GB2312" w:hAnsi="仿宋_GB2312" w:eastAsia="仿宋_GB2312" w:cs="仿宋_GB2312"/>
          <w:color w:val="000000"/>
          <w:kern w:val="0"/>
          <w:sz w:val="32"/>
          <w:szCs w:val="32"/>
          <w:lang w:val="en"/>
        </w:rPr>
        <w:t>未就业城乡居民</w:t>
      </w:r>
      <w:r>
        <w:rPr>
          <w:rFonts w:hint="eastAsia" w:ascii="仿宋_GB2312" w:hAnsi="仿宋_GB2312" w:eastAsia="仿宋_GB2312" w:cs="仿宋_GB2312"/>
          <w:color w:val="000000"/>
          <w:kern w:val="0"/>
          <w:sz w:val="32"/>
          <w:szCs w:val="32"/>
        </w:rPr>
        <w:t>参保政策</w:t>
      </w:r>
      <w:r>
        <w:rPr>
          <w:rFonts w:ascii="仿宋_GB2312" w:hAnsi="仿宋_GB2312" w:eastAsia="仿宋_GB2312" w:cs="仿宋_GB2312"/>
          <w:color w:val="000000"/>
          <w:kern w:val="0"/>
          <w:sz w:val="32"/>
          <w:szCs w:val="32"/>
          <w:lang w:val="en"/>
        </w:rPr>
        <w:t>参保</w:t>
      </w:r>
      <w:r>
        <w:rPr>
          <w:rFonts w:hint="eastAsia" w:ascii="仿宋_GB2312" w:hAnsi="仿宋_GB2312" w:eastAsia="仿宋_GB2312" w:cs="仿宋_GB2312"/>
          <w:color w:val="000000"/>
          <w:kern w:val="0"/>
          <w:sz w:val="32"/>
          <w:szCs w:val="32"/>
          <w:lang w:val="en"/>
        </w:rPr>
        <w:t>的，待遇标准另行规定。</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第十二条 待遇享受期。</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（一）参保人员经评估达到待遇享受条件的，次月起享受待遇；评估结论有效期满未按规定参加复评的，或经复评未达到待遇享受条件的，次月起停止享受待遇；住院治疗期间暂停享受待遇。</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（二）参保单位、</w:t>
      </w:r>
      <w:r>
        <w:rPr>
          <w:rFonts w:hint="eastAsia" w:ascii="仿宋_GB2312" w:hAnsi="仿宋_GB2312" w:eastAsia="仿宋_GB2312" w:cs="仿宋_GB2312"/>
          <w:kern w:val="0"/>
          <w:sz w:val="32"/>
          <w:szCs w:val="32"/>
          <w:lang w:val="en"/>
        </w:rPr>
        <w:t>单位职工、退休人员和灵活就业人员中断缴费</w:t>
      </w:r>
      <w:r>
        <w:rPr>
          <w:rFonts w:hint="eastAsia" w:ascii="仿宋_GB2312" w:eastAsia="仿宋_GB2312"/>
          <w:sz w:val="32"/>
          <w:szCs w:val="32"/>
        </w:rPr>
        <w:t>的，次月起停止享受待遇；中断缴费</w:t>
      </w:r>
      <w:r>
        <w:rPr>
          <w:rFonts w:ascii="仿宋_GB2312" w:eastAsia="仿宋_GB2312"/>
          <w:sz w:val="32"/>
          <w:szCs w:val="32"/>
        </w:rPr>
        <w:t>3</w:t>
      </w:r>
      <w:r>
        <w:rPr>
          <w:rFonts w:hint="eastAsia" w:ascii="仿宋_GB2312" w:eastAsia="仿宋_GB2312"/>
          <w:sz w:val="32"/>
          <w:szCs w:val="32"/>
        </w:rPr>
        <w:t>个月（含）以内补缴的，不设待遇等待期，中断期间的待遇追溯享受；中断缴费</w:t>
      </w:r>
      <w:r>
        <w:rPr>
          <w:rFonts w:ascii="仿宋_GB2312" w:eastAsia="仿宋_GB2312"/>
          <w:sz w:val="32"/>
          <w:szCs w:val="32"/>
        </w:rPr>
        <w:t>3</w:t>
      </w:r>
      <w:r>
        <w:rPr>
          <w:rFonts w:hint="eastAsia" w:ascii="仿宋_GB2312" w:eastAsia="仿宋_GB2312"/>
          <w:sz w:val="32"/>
          <w:szCs w:val="32"/>
        </w:rPr>
        <w:t>个月以上补缴的，设置固定待遇等待期6个月，中断期间的待遇不追溯享受。</w:t>
      </w:r>
    </w:p>
    <w:p>
      <w:pPr>
        <w:spacing w:line="60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（三）未就业城乡居民中断缴费的，次年起停止享受待遇。</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（四）</w:t>
      </w:r>
      <w:r>
        <w:rPr>
          <w:rFonts w:hint="eastAsia" w:ascii="仿宋_GB2312" w:hAnsi="仿宋_GB2312" w:eastAsia="仿宋_GB2312" w:cs="仿宋_GB2312"/>
          <w:sz w:val="32"/>
          <w:szCs w:val="32"/>
          <w:lang w:eastAsia="zh-Hans"/>
        </w:rPr>
        <w:t>除新生儿等特殊群体外，对</w:t>
      </w:r>
      <w:r>
        <w:rPr>
          <w:rFonts w:hint="eastAsia" w:ascii="仿宋_GB2312" w:hAnsi="仿宋_GB2312" w:eastAsia="仿宋_GB2312" w:cs="仿宋_GB2312"/>
          <w:sz w:val="32"/>
          <w:szCs w:val="32"/>
        </w:rPr>
        <w:t xml:space="preserve">未在长护险制度启动时参保以及中断缴费后再次参保的，设置固定待遇等待期6个月。参加城乡居民长护险的，每多断保 </w:t>
      </w:r>
      <w:r>
        <w:rPr>
          <w:rFonts w:ascii="仿宋_GB2312" w:hAnsi="仿宋_GB2312" w:eastAsia="仿宋_GB2312" w:cs="仿宋_GB2312"/>
          <w:sz w:val="32"/>
          <w:szCs w:val="32"/>
        </w:rPr>
        <w:t xml:space="preserve">1 </w:t>
      </w:r>
      <w:r>
        <w:rPr>
          <w:rFonts w:hint="eastAsia" w:ascii="仿宋_GB2312" w:hAnsi="仿宋_GB2312" w:eastAsia="仿宋_GB2312" w:cs="仿宋_GB2312"/>
          <w:sz w:val="32"/>
          <w:szCs w:val="32"/>
        </w:rPr>
        <w:t>年，在固定待遇等待期基础上增加变动待遇等待期</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个月，参保人员可通过缴费修复变动待遇等待期，每多缴纳</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年可减少</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个月变动待遇等待期。连续断缴</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年及以上的，修复后固定待遇等待期和变动待遇等待期之和原则上不少于</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个月。对连续参加长护险满</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年的城乡居民，之后每连续参保</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年，每年长护险基金支付比例提高</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个百分点，最高提高</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个百分点。中断缴费的，前期累计所提高的百分点清零。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（五）其他关于待遇享受期和保险关系转移接续的情形，参照基本医疗保险相关规定执行。</w:t>
      </w:r>
    </w:p>
    <w:p>
      <w:pPr>
        <w:pStyle w:val="2"/>
        <w:spacing w:line="60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第十三条 异地政策。异地参保、评估、享受待遇等规定按照国家、省有关要求执行</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第十四条 政策衔接。领取工伤保险生活护理费用的参保人员不重复享受长护险相关服务待遇。</w:t>
      </w:r>
      <w:r>
        <w:rPr>
          <w:rFonts w:hint="eastAsia" w:ascii="仿宋_GB2312" w:hAnsi="仿宋_GB2312" w:eastAsia="仿宋_GB2312" w:cs="仿宋_GB2312"/>
          <w:kern w:val="0"/>
          <w:sz w:val="32"/>
          <w:szCs w:val="32"/>
        </w:rPr>
        <w:t>按照国家、省统一部署，推动</w:t>
      </w:r>
      <w:r>
        <w:rPr>
          <w:rFonts w:hint="eastAsia" w:ascii="仿宋_GB2312" w:eastAsia="仿宋_GB2312"/>
          <w:sz w:val="32"/>
          <w:szCs w:val="32"/>
        </w:rPr>
        <w:t>长护险</w:t>
      </w:r>
      <w:r>
        <w:rPr>
          <w:rFonts w:hint="eastAsia" w:ascii="仿宋_GB2312" w:hAnsi="仿宋_GB2312" w:eastAsia="仿宋_GB2312" w:cs="仿宋_GB2312"/>
          <w:kern w:val="0"/>
          <w:sz w:val="32"/>
          <w:szCs w:val="32"/>
        </w:rPr>
        <w:t>与经济困难的高龄、失能老年人补贴以及重度残疾人护理补贴等政策衔接。</w:t>
      </w:r>
    </w:p>
    <w:p>
      <w:pPr>
        <w:spacing w:line="600" w:lineRule="exact"/>
        <w:jc w:val="center"/>
        <w:rPr>
          <w:rFonts w:hint="eastAsia" w:ascii="黑体" w:hAnsi="黑体" w:eastAsia="黑体"/>
          <w:sz w:val="32"/>
          <w:szCs w:val="32"/>
        </w:rPr>
      </w:pPr>
      <w:r>
        <w:rPr>
          <w:rFonts w:hint="eastAsia" w:ascii="黑体" w:hAnsi="黑体" w:eastAsia="黑体"/>
          <w:sz w:val="32"/>
          <w:szCs w:val="32"/>
        </w:rPr>
        <w:t>第四章 失能等级评估</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第十五条 评估标准。</w:t>
      </w:r>
      <w:r>
        <w:rPr>
          <w:rFonts w:hint="eastAsia" w:ascii="仿宋_GB2312" w:hAnsi="仿宋_GB2312" w:eastAsia="仿宋_GB2312" w:cs="仿宋_GB2312"/>
          <w:kern w:val="0"/>
          <w:sz w:val="32"/>
          <w:szCs w:val="32"/>
        </w:rPr>
        <w:t>执行全国统一的长护险失能等级评估标准、操作指南和管理办法。按照国家、省统一部署，推动评估结果全省范围互认、有关部门按需使用。</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第十六条 评估管理。失能等级评估应遵循公平公开、科学规范、权责明晰、高效便民的原则进行。医保行政部门按照国家、省失能等级评估管理有关规定，结合本市实际，制定失能等级评估管理实施细则。制度建立初期，可依托经医保部门认定的医疗机构、劳动能力鉴定机构、商业保险机构等实施评估。</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第十七条 评估费用。以下情形的评估费用由基金支付：</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（一）参保人员首次申请失能评估且经评估符合待遇享受条件的；</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（二）参保人员因状态变化重新申请失能评估且经评估符合待遇享受条件的；</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（三）按规定开展期末重新评估的； </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（四）参保人员对评估结论有异议申请复评，复评结论与初评不一致且符合待遇享受条件的；</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（五）因医疗保障部门工作需要，组织开展日常复核、检查、监督等稽核评估的。</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其他情形的评估费用由参保人员或其监护人、委托代理人承担。</w:t>
      </w:r>
    </w:p>
    <w:p>
      <w:pPr>
        <w:spacing w:line="600" w:lineRule="exact"/>
        <w:jc w:val="center"/>
        <w:rPr>
          <w:rFonts w:hint="eastAsia" w:ascii="黑体" w:hAnsi="黑体" w:eastAsia="黑体"/>
          <w:sz w:val="32"/>
          <w:szCs w:val="32"/>
        </w:rPr>
      </w:pPr>
      <w:r>
        <w:rPr>
          <w:rFonts w:hint="eastAsia" w:ascii="黑体" w:hAnsi="黑体" w:eastAsia="黑体"/>
          <w:sz w:val="32"/>
          <w:szCs w:val="32"/>
        </w:rPr>
        <w:t xml:space="preserve">第五章 </w:t>
      </w:r>
      <w:r>
        <w:rPr>
          <w:rFonts w:ascii="Calibri" w:hAnsi="Calibri" w:eastAsia="黑体" w:cs="Calibri"/>
          <w:sz w:val="32"/>
          <w:szCs w:val="32"/>
        </w:rPr>
        <w:t> </w:t>
      </w:r>
      <w:r>
        <w:rPr>
          <w:rFonts w:hint="eastAsia" w:ascii="黑体" w:hAnsi="黑体" w:eastAsia="黑体"/>
          <w:sz w:val="32"/>
          <w:szCs w:val="32"/>
        </w:rPr>
        <w:t>服务管理</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 xml:space="preserve">第十八条 </w:t>
      </w:r>
      <w:r>
        <w:rPr>
          <w:rFonts w:hint="eastAsia" w:ascii="仿宋_GB2312" w:hAnsi="仿宋_GB2312" w:eastAsia="仿宋_GB2312" w:cs="仿宋_GB2312"/>
          <w:kern w:val="0"/>
          <w:sz w:val="32"/>
          <w:szCs w:val="32"/>
        </w:rPr>
        <w:t>失能等级评估机构。失能等级评估机构实行定点管理，统筹地区医保经办机构负责确定定点失能等级评估机构，与其签订协议，为参保人员提供失能等级评估服务。定点失能等级评估机构不得同时承担长护险护理服务工作及长护险经办工作。</w:t>
      </w:r>
    </w:p>
    <w:p>
      <w:pPr>
        <w:spacing w:line="600" w:lineRule="exact"/>
        <w:ind w:firstLine="640" w:firstLineChars="200"/>
        <w:rPr>
          <w:rFonts w:ascii="仿宋_GB2312" w:eastAsia="仿宋_GB2312"/>
          <w:sz w:val="32"/>
          <w:szCs w:val="32"/>
        </w:rPr>
      </w:pPr>
      <w:r>
        <w:rPr>
          <w:rFonts w:hint="eastAsia" w:ascii="仿宋_GB2312" w:hAnsi="仿宋_GB2312" w:eastAsia="仿宋_GB2312" w:cs="仿宋_GB2312"/>
          <w:kern w:val="0"/>
          <w:sz w:val="32"/>
          <w:szCs w:val="32"/>
        </w:rPr>
        <w:t xml:space="preserve">第十九条 </w:t>
      </w:r>
      <w:r>
        <w:rPr>
          <w:rFonts w:hint="eastAsia" w:ascii="仿宋_GB2312" w:eastAsia="仿宋_GB2312"/>
          <w:sz w:val="32"/>
          <w:szCs w:val="32"/>
        </w:rPr>
        <w:t>护理服务机构。</w:t>
      </w:r>
      <w:r>
        <w:rPr>
          <w:rFonts w:hint="eastAsia" w:ascii="仿宋_GB2312" w:hAnsi="仿宋_GB2312" w:eastAsia="仿宋_GB2312" w:cs="仿宋_GB2312"/>
          <w:kern w:val="0"/>
          <w:sz w:val="32"/>
          <w:szCs w:val="32"/>
        </w:rPr>
        <w:t>护理服务机构实行定点管理，统筹地区医保经办机构负责确定定点护理服务机构，与其签订协议，为符合待遇享受条件的</w:t>
      </w:r>
      <w:r>
        <w:rPr>
          <w:rFonts w:ascii="仿宋_GB2312" w:hAnsi="仿宋_GB2312" w:eastAsia="仿宋_GB2312" w:cs="仿宋_GB2312"/>
          <w:kern w:val="0"/>
          <w:sz w:val="32"/>
          <w:szCs w:val="32"/>
        </w:rPr>
        <w:t>参保人员</w:t>
      </w:r>
      <w:r>
        <w:rPr>
          <w:rFonts w:hint="eastAsia" w:ascii="仿宋_GB2312" w:hAnsi="仿宋_GB2312" w:eastAsia="仿宋_GB2312" w:cs="仿宋_GB2312"/>
          <w:kern w:val="0"/>
          <w:sz w:val="32"/>
          <w:szCs w:val="32"/>
        </w:rPr>
        <w:t>提供长期护理服务。确因工作需要，可按照属地管理及分级管理原则，由统筹地区医保部门委托下级医保部门签订协议并开展管理工作。定点护理服务机构不得同时承担长护险失能等级评估工作及长护险经办工作。鼓励支持基层医疗卫生机构、养老服务机构提供长期护理服务。</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第二十条 服务变更。参保人员可依申请变更服务方式，</w:t>
      </w:r>
      <w:r>
        <w:rPr>
          <w:rFonts w:ascii="仿宋_GB2312" w:eastAsia="仿宋_GB2312"/>
          <w:sz w:val="32"/>
          <w:szCs w:val="32"/>
        </w:rPr>
        <w:t>自办理变更手续次月起享受变更后的待遇</w:t>
      </w:r>
      <w:r>
        <w:rPr>
          <w:rFonts w:hint="eastAsia" w:ascii="仿宋_GB2312" w:eastAsia="仿宋_GB2312"/>
          <w:sz w:val="32"/>
          <w:szCs w:val="32"/>
        </w:rPr>
        <w:t>。</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第二十一条 基金管理和监管。</w:t>
      </w:r>
      <w:r>
        <w:rPr>
          <w:rFonts w:hint="eastAsia" w:ascii="仿宋_GB2312" w:hAnsi="仿宋_GB2312" w:eastAsia="仿宋_GB2312" w:cs="仿宋_GB2312"/>
          <w:sz w:val="32"/>
          <w:szCs w:val="32"/>
        </w:rPr>
        <w:t>基金纳入社会保障基金财政专户单独管理，单独开设支出户、单独建账、单独计息、专款专用。</w:t>
      </w:r>
      <w:r>
        <w:rPr>
          <w:rFonts w:hint="eastAsia" w:ascii="仿宋_GB2312" w:hAnsi="仿宋_GB2312" w:eastAsia="仿宋_GB2312" w:cs="仿宋_GB2312"/>
          <w:kern w:val="0"/>
          <w:sz w:val="32"/>
          <w:szCs w:val="32"/>
        </w:rPr>
        <w:t>加强预算绩效管理，</w:t>
      </w:r>
      <w:r>
        <w:rPr>
          <w:rFonts w:ascii="Times New Roman" w:hAnsi="Times New Roman" w:eastAsia="仿宋_GB2312" w:cs="Times New Roman"/>
          <w:sz w:val="32"/>
          <w:szCs w:val="32"/>
        </w:rPr>
        <w:t>健全基金预算管理制度。做好基金会计核算和统计分析</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。坚持以收定支、收支平衡，建立基金运行监控和风险防范机制，</w:t>
      </w:r>
      <w:r>
        <w:rPr>
          <w:rFonts w:hint="eastAsia" w:ascii="Times New Roman" w:hAnsi="Times New Roman" w:eastAsia="仿宋_GB2312" w:cs="Times New Roman"/>
          <w:sz w:val="32"/>
          <w:szCs w:val="32"/>
        </w:rPr>
        <w:t>加强</w:t>
      </w:r>
      <w:r>
        <w:rPr>
          <w:rFonts w:ascii="Times New Roman" w:hAnsi="Times New Roman" w:eastAsia="仿宋_GB2312" w:cs="Times New Roman"/>
          <w:sz w:val="32"/>
          <w:szCs w:val="32"/>
        </w:rPr>
        <w:t>中长期精算分析。</w:t>
      </w:r>
      <w:r>
        <w:rPr>
          <w:rFonts w:hint="eastAsia" w:ascii="仿宋_GB2312" w:hAnsi="仿宋_GB2312" w:eastAsia="仿宋_GB2312" w:cs="仿宋_GB2312"/>
          <w:kern w:val="0"/>
          <w:sz w:val="32"/>
          <w:szCs w:val="32"/>
        </w:rPr>
        <w:t>基金支付困难时，按照规定及时调整筹资和待遇政策。建立健全基金监管体系，完善欺诈骗保人员、机构惩戒机制，加强财会监督和审计监督，严肃财经纪律，确保基金安全。</w:t>
      </w:r>
      <w:r>
        <w:rPr>
          <w:rFonts w:ascii="Times New Roman" w:hAnsi="Times New Roman" w:eastAsia="仿宋_GB2312" w:cs="Times New Roman"/>
          <w:sz w:val="32"/>
          <w:szCs w:val="32"/>
        </w:rPr>
        <w:t>完善</w:t>
      </w:r>
      <w:r>
        <w:rPr>
          <w:rFonts w:hint="eastAsia" w:ascii="Times New Roman" w:hAnsi="Times New Roman" w:eastAsia="仿宋_GB2312" w:cs="Times New Roman"/>
          <w:sz w:val="32"/>
          <w:szCs w:val="32"/>
        </w:rPr>
        <w:t>长护险</w:t>
      </w:r>
      <w:r>
        <w:rPr>
          <w:rFonts w:ascii="Times New Roman" w:hAnsi="Times New Roman" w:eastAsia="仿宋_GB2312" w:cs="Times New Roman"/>
          <w:sz w:val="32"/>
          <w:szCs w:val="32"/>
        </w:rPr>
        <w:t>监管长效机制，逐步将基金使用</w:t>
      </w:r>
      <w:r>
        <w:rPr>
          <w:rFonts w:hint="eastAsia" w:ascii="Times New Roman" w:hAnsi="Times New Roman" w:eastAsia="仿宋_GB2312" w:cs="Times New Roman"/>
          <w:sz w:val="32"/>
          <w:szCs w:val="32"/>
        </w:rPr>
        <w:t>情况</w:t>
      </w:r>
      <w:r>
        <w:rPr>
          <w:rFonts w:ascii="Times New Roman" w:hAnsi="Times New Roman" w:eastAsia="仿宋_GB2312" w:cs="Times New Roman"/>
          <w:sz w:val="32"/>
          <w:szCs w:val="32"/>
        </w:rPr>
        <w:t>纳入飞行检查、日常监管、智能监管、社会监督等常态化监管范围</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坚决守住基金安全底线。</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第二十二条 经办管理。</w:t>
      </w:r>
      <w:r>
        <w:rPr>
          <w:rFonts w:hint="eastAsia" w:ascii="仿宋_GB2312" w:hAnsi="仿宋_GB2312" w:eastAsia="仿宋_GB2312" w:cs="仿宋_GB2312"/>
          <w:kern w:val="0"/>
          <w:sz w:val="32"/>
          <w:szCs w:val="32"/>
        </w:rPr>
        <w:t>加强经办能力建设，建立健全经办服务体系。</w:t>
      </w:r>
      <w:r>
        <w:rPr>
          <w:rFonts w:ascii="Times New Roman" w:hAnsi="Times New Roman" w:eastAsia="仿宋_GB2312" w:cs="Times New Roman"/>
          <w:sz w:val="32"/>
          <w:szCs w:val="32"/>
        </w:rPr>
        <w:t>完善社会力量参与经办管理服务机制，依法依规通过公开招标等竞争性方式有序规范引入社会力量参与经办管理服务，</w:t>
      </w:r>
      <w:r>
        <w:rPr>
          <w:rFonts w:hint="eastAsia" w:ascii="仿宋_GB2312" w:hAnsi="仿宋_GB2312" w:eastAsia="仿宋_GB2312" w:cs="仿宋_GB2312"/>
          <w:kern w:val="0"/>
          <w:sz w:val="32"/>
          <w:szCs w:val="32"/>
        </w:rPr>
        <w:t>相关费用可按照不超过</w:t>
      </w:r>
      <w:r>
        <w:rPr>
          <w:rFonts w:hint="eastAsia" w:ascii="仿宋_GB2312" w:hAnsi="仿宋_GB2312" w:eastAsia="仿宋_GB2312" w:cs="仿宋_GB2312"/>
          <w:sz w:val="32"/>
          <w:szCs w:val="32"/>
        </w:rPr>
        <w:t>当年筹资总额的4%</w:t>
      </w:r>
      <w:r>
        <w:rPr>
          <w:rFonts w:hint="eastAsia" w:ascii="仿宋_GB2312" w:hAnsi="仿宋_GB2312" w:eastAsia="仿宋_GB2312" w:cs="仿宋_GB2312"/>
          <w:kern w:val="0"/>
          <w:sz w:val="32"/>
          <w:szCs w:val="32"/>
        </w:rPr>
        <w:t>从基金中支付。</w:t>
      </w:r>
      <w:r>
        <w:rPr>
          <w:rFonts w:hint="eastAsia" w:ascii="仿宋_GB2312" w:hAnsi="仿宋_GB2312" w:eastAsia="仿宋_GB2312" w:cs="仿宋_GB2312"/>
          <w:sz w:val="32"/>
          <w:szCs w:val="32"/>
        </w:rPr>
        <w:t>做好跨统筹地区长护险关系转移接续相关工作，适时完善异地评估和异地享受待遇规定。</w:t>
      </w:r>
      <w:r>
        <w:rPr>
          <w:rFonts w:hint="eastAsia" w:ascii="仿宋_GB2312" w:hAnsi="仿宋_GB2312" w:eastAsia="仿宋_GB2312" w:cs="仿宋_GB2312"/>
          <w:kern w:val="0"/>
          <w:sz w:val="32"/>
          <w:szCs w:val="32"/>
        </w:rPr>
        <w:t>做好灵活就业人员、农民工、新就业形态人员参保缴费工作。</w:t>
      </w:r>
    </w:p>
    <w:p>
      <w:pPr>
        <w:pBdr>
          <w:top w:val="none" w:color="auto" w:sz="0" w:space="1"/>
          <w:left w:val="none" w:color="auto" w:sz="0" w:space="4"/>
          <w:bottom w:val="none" w:color="auto" w:sz="0" w:space="1"/>
          <w:right w:val="none" w:color="auto" w:sz="0" w:space="4"/>
        </w:pBdr>
        <w:spacing w:line="600" w:lineRule="exact"/>
        <w:ind w:firstLine="640" w:firstLineChars="200"/>
        <w:rPr>
          <w:rFonts w:hint="eastAsia" w:ascii="仿宋_GB2312" w:hAnsi="仿宋_GB2312" w:eastAsia="仿宋_GB2312" w:cs="仿宋_GB2312"/>
          <w:kern w:val="0"/>
          <w:sz w:val="32"/>
          <w:szCs w:val="32"/>
        </w:rPr>
      </w:pPr>
      <w:r>
        <w:rPr>
          <w:rFonts w:hint="eastAsia" w:ascii="仿宋_GB2312" w:eastAsia="仿宋_GB2312"/>
          <w:sz w:val="32"/>
          <w:szCs w:val="32"/>
        </w:rPr>
        <w:t>第二十三条 相关配套支撑。</w:t>
      </w:r>
      <w:r>
        <w:rPr>
          <w:rFonts w:hint="eastAsia" w:ascii="仿宋_GB2312" w:hAnsi="仿宋_GB2312" w:eastAsia="仿宋_GB2312" w:cs="仿宋_GB2312"/>
          <w:kern w:val="0"/>
          <w:sz w:val="32"/>
          <w:szCs w:val="32"/>
        </w:rPr>
        <w:t>强化全国统一的长护险子系统应用。推进长护险待遇享受“一人一档”建设。推进长护险标准化建设，建立完善专业技术标准组织和专家智库。</w:t>
      </w:r>
    </w:p>
    <w:p>
      <w:pPr>
        <w:spacing w:line="600" w:lineRule="exact"/>
        <w:jc w:val="center"/>
        <w:rPr>
          <w:rFonts w:hint="eastAsia" w:ascii="黑体" w:hAnsi="黑体" w:eastAsia="黑体"/>
          <w:sz w:val="32"/>
          <w:szCs w:val="32"/>
        </w:rPr>
      </w:pPr>
      <w:r>
        <w:rPr>
          <w:rFonts w:hint="eastAsia" w:ascii="黑体" w:hAnsi="黑体" w:eastAsia="黑体"/>
          <w:sz w:val="32"/>
          <w:szCs w:val="32"/>
        </w:rPr>
        <w:t>第六章 附则</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第二十四条 本实施细则由市医疗保障局负责解释。有关部门可根据本实施细则制定配套文件和操作规范。</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第二十五条 </w:t>
      </w:r>
      <w:r>
        <w:rPr>
          <w:rFonts w:hint="eastAsia" w:ascii="仿宋_GB2312" w:hAnsi="仿宋_GB2312" w:eastAsia="仿宋_GB2312" w:cs="仿宋_GB2312"/>
          <w:kern w:val="0"/>
          <w:sz w:val="32"/>
          <w:szCs w:val="32"/>
          <w:lang w:bidi="ar"/>
        </w:rPr>
        <w:t>市医疗保障局会同有关部门，根据本市经济发展水平、基金运行状况和保障需求，适时对筹资标准、待遇水平等进行动态调整。</w:t>
      </w:r>
    </w:p>
    <w:p>
      <w:pPr>
        <w:spacing w:line="600" w:lineRule="exact"/>
        <w:ind w:firstLine="640" w:firstLineChars="200"/>
        <w:rPr>
          <w:rFonts w:ascii="仿宋_GB2312" w:eastAsia="仿宋_GB2312"/>
          <w:sz w:val="32"/>
          <w:szCs w:val="32"/>
          <w:u w:val="single"/>
        </w:rPr>
      </w:pPr>
      <w:r>
        <w:rPr>
          <w:rFonts w:hint="eastAsia" w:ascii="仿宋_GB2312" w:eastAsia="仿宋_GB2312"/>
          <w:sz w:val="32"/>
          <w:szCs w:val="32"/>
        </w:rPr>
        <w:t>第二十六条 本实施细则自发布之日起施行。实施过程中上级出台新规定的，从其规定。未尽事宜参照基本医疗保险有关规定执行。</w:t>
      </w:r>
    </w:p>
    <w:p>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roman"/>
    <w:pitch w:val="default"/>
    <w:sig w:usb0="00000000" w:usb1="00000000" w:usb2="02000000" w:usb3="00000000" w:csb0="0000019F" w:csb1="00000000"/>
  </w:font>
  <w:font w:name="Calibri Light">
    <w:altName w:val="DejaVu Sans"/>
    <w:panose1 w:val="020F0302020204030204"/>
    <w:charset w:val="00"/>
    <w:family w:val="swiss"/>
    <w:pitch w:val="default"/>
    <w:sig w:usb0="00000000" w:usb1="00000000" w:usb2="00000009" w:usb3="00000000" w:csb0="000001FF"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新宋体">
    <w:altName w:val="方正书宋_GBK"/>
    <w:panose1 w:val="02010609030101010101"/>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B3B"/>
    <w:rsid w:val="000F7A04"/>
    <w:rsid w:val="001E681D"/>
    <w:rsid w:val="005F3250"/>
    <w:rsid w:val="00652BEE"/>
    <w:rsid w:val="006C5B3B"/>
    <w:rsid w:val="00A3697C"/>
    <w:rsid w:val="00C65563"/>
    <w:rsid w:val="6FA50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32"/>
    <w:qFormat/>
    <w:uiPriority w:val="0"/>
    <w:pPr>
      <w:spacing w:line="600" w:lineRule="exact"/>
      <w:jc w:val="center"/>
      <w:outlineLvl w:val="0"/>
    </w:pPr>
    <w:rPr>
      <w:rFonts w:ascii="宋体" w:hAnsi="宋体" w:eastAsia="方正小标宋简体" w:cs="宋体"/>
      <w:bCs/>
      <w:kern w:val="36"/>
      <w:sz w:val="44"/>
      <w:szCs w:val="48"/>
    </w:rPr>
  </w:style>
  <w:style w:type="paragraph" w:styleId="4">
    <w:name w:val="heading 2"/>
    <w:basedOn w:val="1"/>
    <w:next w:val="1"/>
    <w:link w:val="33"/>
    <w:unhideWhenUsed/>
    <w:qFormat/>
    <w:uiPriority w:val="0"/>
    <w:pPr>
      <w:keepNext/>
      <w:keepLines/>
      <w:spacing w:beforeLines="50" w:afterLines="100"/>
      <w:jc w:val="center"/>
      <w:outlineLvl w:val="1"/>
    </w:pPr>
    <w:rPr>
      <w:rFonts w:ascii="Cambria" w:hAnsi="Cambria" w:eastAsia="方正小标宋简体"/>
      <w:bCs/>
      <w:sz w:val="36"/>
      <w:szCs w:val="32"/>
    </w:rPr>
  </w:style>
  <w:style w:type="paragraph" w:styleId="5">
    <w:name w:val="heading 3"/>
    <w:basedOn w:val="1"/>
    <w:next w:val="1"/>
    <w:link w:val="34"/>
    <w:semiHidden/>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35"/>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1"/>
    <w:link w:val="36"/>
    <w:semiHidden/>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37"/>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rPr>
  </w:style>
  <w:style w:type="paragraph" w:styleId="9">
    <w:name w:val="heading 7"/>
    <w:basedOn w:val="1"/>
    <w:next w:val="1"/>
    <w:link w:val="38"/>
    <w:semiHidden/>
    <w:unhideWhenUsed/>
    <w:qFormat/>
    <w:uiPriority w:val="0"/>
    <w:pPr>
      <w:keepNext/>
      <w:keepLines/>
      <w:spacing w:before="240" w:after="64" w:line="320" w:lineRule="auto"/>
      <w:outlineLvl w:val="6"/>
    </w:pPr>
    <w:rPr>
      <w:b/>
      <w:bCs/>
      <w:sz w:val="24"/>
    </w:rPr>
  </w:style>
  <w:style w:type="paragraph" w:styleId="10">
    <w:name w:val="heading 8"/>
    <w:basedOn w:val="1"/>
    <w:next w:val="1"/>
    <w:link w:val="39"/>
    <w:semiHidden/>
    <w:unhideWhenUsed/>
    <w:qFormat/>
    <w:uiPriority w:val="0"/>
    <w:pPr>
      <w:keepNext/>
      <w:keepLines/>
      <w:spacing w:before="240" w:after="64" w:line="320" w:lineRule="auto"/>
      <w:outlineLvl w:val="7"/>
    </w:pPr>
    <w:rPr>
      <w:rFonts w:asciiTheme="majorHAnsi" w:hAnsiTheme="majorHAnsi" w:eastAsiaTheme="majorEastAsia" w:cstheme="majorBidi"/>
      <w:sz w:val="24"/>
    </w:rPr>
  </w:style>
  <w:style w:type="paragraph" w:styleId="11">
    <w:name w:val="heading 9"/>
    <w:basedOn w:val="1"/>
    <w:next w:val="1"/>
    <w:link w:val="40"/>
    <w:semiHidden/>
    <w:unhideWhenUsed/>
    <w:qFormat/>
    <w:uiPriority w:val="0"/>
    <w:pPr>
      <w:keepNext/>
      <w:keepLines/>
      <w:spacing w:before="240" w:after="64" w:line="320" w:lineRule="auto"/>
      <w:outlineLvl w:val="8"/>
    </w:pPr>
    <w:rPr>
      <w:rFonts w:asciiTheme="majorHAnsi" w:hAnsiTheme="majorHAnsi" w:eastAsiaTheme="majorEastAsia" w:cstheme="majorBidi"/>
      <w:szCs w:val="21"/>
    </w:rPr>
  </w:style>
  <w:style w:type="character" w:default="1" w:styleId="22">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1"/>
    <w:qFormat/>
    <w:uiPriority w:val="0"/>
    <w:rPr>
      <w:color w:val="000000"/>
    </w:rPr>
  </w:style>
  <w:style w:type="paragraph" w:styleId="12">
    <w:name w:val="Body Text"/>
    <w:basedOn w:val="1"/>
    <w:next w:val="1"/>
    <w:link w:val="51"/>
    <w:qFormat/>
    <w:uiPriority w:val="0"/>
  </w:style>
  <w:style w:type="paragraph" w:styleId="13">
    <w:name w:val="Body Text Indent"/>
    <w:basedOn w:val="1"/>
    <w:next w:val="12"/>
    <w:link w:val="54"/>
    <w:qFormat/>
    <w:uiPriority w:val="99"/>
    <w:pPr>
      <w:ind w:left="420" w:leftChars="200"/>
    </w:pPr>
  </w:style>
  <w:style w:type="paragraph" w:styleId="14">
    <w:name w:val="footer"/>
    <w:basedOn w:val="1"/>
    <w:link w:val="53"/>
    <w:qFormat/>
    <w:uiPriority w:val="0"/>
    <w:pPr>
      <w:tabs>
        <w:tab w:val="center" w:pos="4153"/>
        <w:tab w:val="right" w:pos="8306"/>
      </w:tabs>
      <w:snapToGrid w:val="0"/>
      <w:jc w:val="left"/>
    </w:pPr>
    <w:rPr>
      <w:sz w:val="18"/>
    </w:rPr>
  </w:style>
  <w:style w:type="paragraph" w:styleId="15">
    <w:name w:val="header"/>
    <w:basedOn w:val="1"/>
    <w:link w:val="5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Subtitle"/>
    <w:basedOn w:val="1"/>
    <w:next w:val="1"/>
    <w:link w:val="42"/>
    <w:qFormat/>
    <w:uiPriority w:val="0"/>
    <w:pPr>
      <w:spacing w:before="240" w:after="60" w:line="312" w:lineRule="auto"/>
      <w:jc w:val="center"/>
      <w:outlineLvl w:val="1"/>
    </w:pPr>
    <w:rPr>
      <w:b/>
      <w:bCs/>
      <w:kern w:val="28"/>
      <w:sz w:val="32"/>
      <w:szCs w:val="32"/>
    </w:rPr>
  </w:style>
  <w:style w:type="paragraph" w:styleId="17">
    <w:name w:val="Normal (Web)"/>
    <w:basedOn w:val="1"/>
    <w:qFormat/>
    <w:uiPriority w:val="99"/>
    <w:pPr>
      <w:widowControl/>
      <w:spacing w:before="100" w:beforeAutospacing="1" w:after="100" w:afterAutospacing="1"/>
      <w:jc w:val="left"/>
    </w:pPr>
    <w:rPr>
      <w:kern w:val="0"/>
      <w:sz w:val="24"/>
    </w:rPr>
  </w:style>
  <w:style w:type="paragraph" w:styleId="18">
    <w:name w:val="Title"/>
    <w:basedOn w:val="1"/>
    <w:next w:val="1"/>
    <w:link w:val="41"/>
    <w:qFormat/>
    <w:uiPriority w:val="0"/>
    <w:pPr>
      <w:spacing w:before="240" w:after="60"/>
      <w:jc w:val="center"/>
      <w:outlineLvl w:val="0"/>
    </w:pPr>
    <w:rPr>
      <w:rFonts w:asciiTheme="majorHAnsi" w:hAnsiTheme="majorHAnsi" w:eastAsiaTheme="majorEastAsia" w:cstheme="majorBidi"/>
      <w:b/>
      <w:bCs/>
      <w:sz w:val="32"/>
      <w:szCs w:val="32"/>
    </w:rPr>
  </w:style>
  <w:style w:type="paragraph" w:styleId="19">
    <w:name w:val="Body Text First Indent"/>
    <w:basedOn w:val="12"/>
    <w:next w:val="20"/>
    <w:link w:val="55"/>
    <w:qFormat/>
    <w:uiPriority w:val="0"/>
    <w:pPr>
      <w:ind w:firstLine="420" w:firstLineChars="100"/>
    </w:pPr>
  </w:style>
  <w:style w:type="paragraph" w:styleId="20">
    <w:name w:val="Body Text First Indent 2"/>
    <w:basedOn w:val="13"/>
    <w:next w:val="19"/>
    <w:link w:val="56"/>
    <w:qFormat/>
    <w:uiPriority w:val="99"/>
    <w:pPr>
      <w:ind w:firstLine="420" w:firstLineChars="200"/>
    </w:pPr>
  </w:style>
  <w:style w:type="character" w:styleId="23">
    <w:name w:val="page number"/>
    <w:basedOn w:val="22"/>
    <w:qFormat/>
    <w:uiPriority w:val="0"/>
  </w:style>
  <w:style w:type="character" w:styleId="24">
    <w:name w:val="FollowedHyperlink"/>
    <w:basedOn w:val="22"/>
    <w:qFormat/>
    <w:uiPriority w:val="0"/>
    <w:rPr>
      <w:color w:val="4C4C4C"/>
      <w:u w:val="none"/>
    </w:rPr>
  </w:style>
  <w:style w:type="character" w:styleId="25">
    <w:name w:val="Emphasis"/>
    <w:basedOn w:val="22"/>
    <w:qFormat/>
    <w:uiPriority w:val="0"/>
  </w:style>
  <w:style w:type="character" w:styleId="26">
    <w:name w:val="HTML Definition"/>
    <w:basedOn w:val="22"/>
    <w:qFormat/>
    <w:uiPriority w:val="0"/>
  </w:style>
  <w:style w:type="character" w:styleId="27">
    <w:name w:val="HTML Acronym"/>
    <w:basedOn w:val="22"/>
    <w:qFormat/>
    <w:uiPriority w:val="0"/>
  </w:style>
  <w:style w:type="character" w:styleId="28">
    <w:name w:val="HTML Variable"/>
    <w:basedOn w:val="22"/>
    <w:qFormat/>
    <w:uiPriority w:val="0"/>
  </w:style>
  <w:style w:type="character" w:styleId="29">
    <w:name w:val="Hyperlink"/>
    <w:basedOn w:val="22"/>
    <w:unhideWhenUsed/>
    <w:qFormat/>
    <w:uiPriority w:val="99"/>
    <w:rPr>
      <w:color w:val="0000FF"/>
      <w:u w:val="single"/>
    </w:rPr>
  </w:style>
  <w:style w:type="character" w:styleId="30">
    <w:name w:val="HTML Code"/>
    <w:basedOn w:val="22"/>
    <w:qFormat/>
    <w:uiPriority w:val="0"/>
    <w:rPr>
      <w:rFonts w:hint="eastAsia" w:ascii="微软雅黑" w:hAnsi="微软雅黑" w:eastAsia="微软雅黑" w:cs="微软雅黑"/>
      <w:color w:val="4C4C4C"/>
      <w:sz w:val="21"/>
      <w:szCs w:val="21"/>
    </w:rPr>
  </w:style>
  <w:style w:type="character" w:styleId="31">
    <w:name w:val="HTML Cite"/>
    <w:basedOn w:val="22"/>
    <w:qFormat/>
    <w:uiPriority w:val="0"/>
  </w:style>
  <w:style w:type="character" w:customStyle="1" w:styleId="32">
    <w:name w:val="标题 1 字符"/>
    <w:basedOn w:val="22"/>
    <w:link w:val="3"/>
    <w:qFormat/>
    <w:uiPriority w:val="0"/>
    <w:rPr>
      <w:rFonts w:ascii="宋体" w:hAnsi="宋体" w:eastAsia="方正小标宋简体" w:cs="宋体"/>
      <w:bCs/>
      <w:kern w:val="36"/>
      <w:sz w:val="44"/>
      <w:szCs w:val="48"/>
    </w:rPr>
  </w:style>
  <w:style w:type="character" w:customStyle="1" w:styleId="33">
    <w:name w:val="标题 2 字符"/>
    <w:basedOn w:val="22"/>
    <w:link w:val="4"/>
    <w:qFormat/>
    <w:uiPriority w:val="0"/>
    <w:rPr>
      <w:rFonts w:ascii="Cambria" w:hAnsi="Cambria" w:eastAsia="方正小标宋简体" w:cstheme="minorBidi"/>
      <w:bCs/>
      <w:kern w:val="2"/>
      <w:sz w:val="36"/>
      <w:szCs w:val="32"/>
    </w:rPr>
  </w:style>
  <w:style w:type="character" w:customStyle="1" w:styleId="34">
    <w:name w:val="标题 3 字符"/>
    <w:basedOn w:val="22"/>
    <w:link w:val="5"/>
    <w:semiHidden/>
    <w:qFormat/>
    <w:uiPriority w:val="0"/>
    <w:rPr>
      <w:rFonts w:asciiTheme="minorHAnsi" w:hAnsiTheme="minorHAnsi" w:eastAsiaTheme="minorEastAsia" w:cstheme="minorBidi"/>
      <w:b/>
      <w:bCs/>
      <w:kern w:val="2"/>
      <w:sz w:val="32"/>
      <w:szCs w:val="32"/>
    </w:rPr>
  </w:style>
  <w:style w:type="character" w:customStyle="1" w:styleId="35">
    <w:name w:val="标题 4 字符"/>
    <w:basedOn w:val="22"/>
    <w:link w:val="6"/>
    <w:semiHidden/>
    <w:qFormat/>
    <w:uiPriority w:val="0"/>
    <w:rPr>
      <w:rFonts w:asciiTheme="majorHAnsi" w:hAnsiTheme="majorHAnsi" w:eastAsiaTheme="majorEastAsia" w:cstheme="majorBidi"/>
      <w:b/>
      <w:bCs/>
      <w:kern w:val="2"/>
      <w:sz w:val="28"/>
      <w:szCs w:val="28"/>
    </w:rPr>
  </w:style>
  <w:style w:type="character" w:customStyle="1" w:styleId="36">
    <w:name w:val="标题 5 字符"/>
    <w:basedOn w:val="22"/>
    <w:link w:val="7"/>
    <w:semiHidden/>
    <w:qFormat/>
    <w:uiPriority w:val="0"/>
    <w:rPr>
      <w:rFonts w:asciiTheme="minorHAnsi" w:hAnsiTheme="minorHAnsi" w:eastAsiaTheme="minorEastAsia" w:cstheme="minorBidi"/>
      <w:b/>
      <w:bCs/>
      <w:kern w:val="2"/>
      <w:sz w:val="28"/>
      <w:szCs w:val="28"/>
    </w:rPr>
  </w:style>
  <w:style w:type="character" w:customStyle="1" w:styleId="37">
    <w:name w:val="标题 6 字符"/>
    <w:basedOn w:val="22"/>
    <w:link w:val="8"/>
    <w:semiHidden/>
    <w:qFormat/>
    <w:uiPriority w:val="0"/>
    <w:rPr>
      <w:rFonts w:asciiTheme="majorHAnsi" w:hAnsiTheme="majorHAnsi" w:eastAsiaTheme="majorEastAsia" w:cstheme="majorBidi"/>
      <w:b/>
      <w:bCs/>
      <w:kern w:val="2"/>
      <w:sz w:val="24"/>
      <w:szCs w:val="24"/>
    </w:rPr>
  </w:style>
  <w:style w:type="character" w:customStyle="1" w:styleId="38">
    <w:name w:val="标题 7 字符"/>
    <w:basedOn w:val="22"/>
    <w:link w:val="9"/>
    <w:semiHidden/>
    <w:qFormat/>
    <w:uiPriority w:val="0"/>
    <w:rPr>
      <w:rFonts w:asciiTheme="minorHAnsi" w:hAnsiTheme="minorHAnsi" w:eastAsiaTheme="minorEastAsia" w:cstheme="minorBidi"/>
      <w:b/>
      <w:bCs/>
      <w:kern w:val="2"/>
      <w:sz w:val="24"/>
      <w:szCs w:val="24"/>
    </w:rPr>
  </w:style>
  <w:style w:type="character" w:customStyle="1" w:styleId="39">
    <w:name w:val="标题 8 字符"/>
    <w:basedOn w:val="22"/>
    <w:link w:val="10"/>
    <w:semiHidden/>
    <w:qFormat/>
    <w:uiPriority w:val="0"/>
    <w:rPr>
      <w:rFonts w:asciiTheme="majorHAnsi" w:hAnsiTheme="majorHAnsi" w:eastAsiaTheme="majorEastAsia" w:cstheme="majorBidi"/>
      <w:kern w:val="2"/>
      <w:sz w:val="24"/>
      <w:szCs w:val="24"/>
    </w:rPr>
  </w:style>
  <w:style w:type="character" w:customStyle="1" w:styleId="40">
    <w:name w:val="标题 9 字符"/>
    <w:basedOn w:val="22"/>
    <w:link w:val="11"/>
    <w:semiHidden/>
    <w:qFormat/>
    <w:uiPriority w:val="0"/>
    <w:rPr>
      <w:rFonts w:asciiTheme="majorHAnsi" w:hAnsiTheme="majorHAnsi" w:eastAsiaTheme="majorEastAsia" w:cstheme="majorBidi"/>
      <w:kern w:val="2"/>
      <w:sz w:val="21"/>
      <w:szCs w:val="21"/>
    </w:rPr>
  </w:style>
  <w:style w:type="character" w:customStyle="1" w:styleId="41">
    <w:name w:val="标题 字符"/>
    <w:basedOn w:val="22"/>
    <w:link w:val="18"/>
    <w:qFormat/>
    <w:uiPriority w:val="0"/>
    <w:rPr>
      <w:rFonts w:asciiTheme="majorHAnsi" w:hAnsiTheme="majorHAnsi" w:eastAsiaTheme="majorEastAsia" w:cstheme="majorBidi"/>
      <w:b/>
      <w:bCs/>
      <w:kern w:val="2"/>
      <w:sz w:val="32"/>
      <w:szCs w:val="32"/>
    </w:rPr>
  </w:style>
  <w:style w:type="character" w:customStyle="1" w:styleId="42">
    <w:name w:val="副标题 字符"/>
    <w:basedOn w:val="22"/>
    <w:link w:val="16"/>
    <w:qFormat/>
    <w:uiPriority w:val="0"/>
    <w:rPr>
      <w:rFonts w:asciiTheme="minorHAnsi" w:hAnsiTheme="minorHAnsi" w:eastAsiaTheme="minorEastAsia" w:cstheme="minorBidi"/>
      <w:b/>
      <w:bCs/>
      <w:kern w:val="28"/>
      <w:sz w:val="32"/>
      <w:szCs w:val="32"/>
    </w:rPr>
  </w:style>
  <w:style w:type="paragraph" w:styleId="43">
    <w:name w:val="List Paragraph"/>
    <w:basedOn w:val="1"/>
    <w:qFormat/>
    <w:uiPriority w:val="34"/>
    <w:pPr>
      <w:spacing w:after="160" w:line="278" w:lineRule="auto"/>
      <w:ind w:left="720"/>
      <w:contextualSpacing/>
      <w:jc w:val="left"/>
    </w:pPr>
    <w:rPr>
      <w:sz w:val="22"/>
      <w14:ligatures w14:val="standardContextual"/>
    </w:rPr>
  </w:style>
  <w:style w:type="paragraph" w:styleId="44">
    <w:name w:val="Quote"/>
    <w:basedOn w:val="1"/>
    <w:next w:val="1"/>
    <w:link w:val="4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5">
    <w:name w:val="引用 字符"/>
    <w:basedOn w:val="22"/>
    <w:link w:val="44"/>
    <w:qFormat/>
    <w:uiPriority w:val="29"/>
    <w:rPr>
      <w:i/>
      <w:iCs/>
      <w:color w:val="404040" w:themeColor="text1" w:themeTint="BF"/>
      <w14:textFill>
        <w14:solidFill>
          <w14:schemeClr w14:val="tx1">
            <w14:lumMod w14:val="75000"/>
            <w14:lumOff w14:val="25000"/>
          </w14:schemeClr>
        </w14:solidFill>
      </w14:textFill>
    </w:rPr>
  </w:style>
  <w:style w:type="paragraph" w:styleId="46">
    <w:name w:val="Intense Quote"/>
    <w:basedOn w:val="1"/>
    <w:next w:val="1"/>
    <w:link w:val="47"/>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47">
    <w:name w:val="明显引用 字符"/>
    <w:basedOn w:val="22"/>
    <w:link w:val="46"/>
    <w:qFormat/>
    <w:uiPriority w:val="30"/>
    <w:rPr>
      <w:i/>
      <w:iCs/>
      <w:color w:val="2E75B6" w:themeColor="accent1" w:themeShade="BF"/>
    </w:rPr>
  </w:style>
  <w:style w:type="character" w:customStyle="1" w:styleId="48">
    <w:name w:val="Intense Emphasis"/>
    <w:basedOn w:val="22"/>
    <w:qFormat/>
    <w:uiPriority w:val="21"/>
    <w:rPr>
      <w:i/>
      <w:iCs/>
      <w:color w:val="5B9BD5" w:themeColor="accent1"/>
      <w14:textFill>
        <w14:solidFill>
          <w14:schemeClr w14:val="accent1"/>
        </w14:solidFill>
      </w14:textFill>
    </w:rPr>
  </w:style>
  <w:style w:type="character" w:customStyle="1" w:styleId="49">
    <w:name w:val="Intense Reference"/>
    <w:basedOn w:val="22"/>
    <w:qFormat/>
    <w:uiPriority w:val="32"/>
    <w:rPr>
      <w:b/>
      <w:bCs/>
      <w:smallCaps/>
      <w:color w:val="5B9BD5" w:themeColor="accent1"/>
      <w:spacing w:val="5"/>
      <w14:textFill>
        <w14:solidFill>
          <w14:schemeClr w14:val="accent1"/>
        </w14:solidFill>
      </w14:textFill>
    </w:rPr>
  </w:style>
  <w:style w:type="paragraph" w:customStyle="1" w:styleId="50">
    <w:name w:val="Body Text First Indent1"/>
    <w:basedOn w:val="12"/>
    <w:next w:val="1"/>
    <w:qFormat/>
    <w:uiPriority w:val="0"/>
    <w:pPr>
      <w:tabs>
        <w:tab w:val="left" w:pos="2250"/>
      </w:tabs>
      <w:ind w:firstLine="420" w:firstLineChars="100"/>
    </w:pPr>
  </w:style>
  <w:style w:type="character" w:customStyle="1" w:styleId="51">
    <w:name w:val="正文文本 字符"/>
    <w:basedOn w:val="22"/>
    <w:link w:val="12"/>
    <w:qFormat/>
    <w:uiPriority w:val="0"/>
    <w:rPr>
      <w:rFonts w:asciiTheme="minorHAnsi" w:hAnsiTheme="minorHAnsi" w:eastAsiaTheme="minorEastAsia" w:cstheme="minorBidi"/>
      <w:kern w:val="2"/>
      <w:sz w:val="21"/>
      <w:szCs w:val="24"/>
    </w:rPr>
  </w:style>
  <w:style w:type="character" w:customStyle="1" w:styleId="52">
    <w:name w:val="页眉 字符"/>
    <w:basedOn w:val="22"/>
    <w:link w:val="15"/>
    <w:qFormat/>
    <w:uiPriority w:val="0"/>
    <w:rPr>
      <w:rFonts w:asciiTheme="minorHAnsi" w:hAnsiTheme="minorHAnsi" w:eastAsiaTheme="minorEastAsia" w:cstheme="minorBidi"/>
      <w:kern w:val="2"/>
      <w:sz w:val="18"/>
      <w:szCs w:val="24"/>
    </w:rPr>
  </w:style>
  <w:style w:type="character" w:customStyle="1" w:styleId="53">
    <w:name w:val="页脚 字符"/>
    <w:basedOn w:val="22"/>
    <w:link w:val="14"/>
    <w:qFormat/>
    <w:uiPriority w:val="0"/>
    <w:rPr>
      <w:rFonts w:asciiTheme="minorHAnsi" w:hAnsiTheme="minorHAnsi" w:eastAsiaTheme="minorEastAsia" w:cstheme="minorBidi"/>
      <w:kern w:val="2"/>
      <w:sz w:val="18"/>
      <w:szCs w:val="24"/>
    </w:rPr>
  </w:style>
  <w:style w:type="character" w:customStyle="1" w:styleId="54">
    <w:name w:val="正文文本缩进 字符"/>
    <w:basedOn w:val="22"/>
    <w:link w:val="13"/>
    <w:qFormat/>
    <w:uiPriority w:val="99"/>
    <w:rPr>
      <w:rFonts w:asciiTheme="minorHAnsi" w:hAnsiTheme="minorHAnsi" w:eastAsiaTheme="minorEastAsia" w:cstheme="minorBidi"/>
      <w:kern w:val="2"/>
      <w:sz w:val="21"/>
      <w:szCs w:val="24"/>
    </w:rPr>
  </w:style>
  <w:style w:type="character" w:customStyle="1" w:styleId="55">
    <w:name w:val="正文文本首行缩进 字符"/>
    <w:basedOn w:val="51"/>
    <w:link w:val="19"/>
    <w:qFormat/>
    <w:uiPriority w:val="0"/>
    <w:rPr>
      <w:rFonts w:asciiTheme="minorHAnsi" w:hAnsiTheme="minorHAnsi" w:eastAsiaTheme="minorEastAsia" w:cstheme="minorBidi"/>
      <w:kern w:val="2"/>
      <w:sz w:val="21"/>
      <w:szCs w:val="24"/>
    </w:rPr>
  </w:style>
  <w:style w:type="character" w:customStyle="1" w:styleId="56">
    <w:name w:val="正文文本首行缩进 2 字符"/>
    <w:basedOn w:val="54"/>
    <w:link w:val="20"/>
    <w:qFormat/>
    <w:uiPriority w:val="99"/>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714</Words>
  <Characters>4074</Characters>
  <Lines>33</Lines>
  <Paragraphs>9</Paragraphs>
  <TotalTime>12</TotalTime>
  <ScaleCrop>false</ScaleCrop>
  <LinksUpToDate>false</LinksUpToDate>
  <CharactersWithSpaces>4779</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2026-09-15T10:25:00Z</dcterms:created>
  <dc:creator>鹏 吴</dc:creator>
  <cp:lastModifiedBy>greatwall</cp:lastModifiedBy>
  <dcterms:modified xsi:type="dcterms:W3CDTF">2026-09-15T15:42:21Z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